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C6" w:rsidRDefault="008748C6" w:rsidP="003F1366">
      <w:pPr>
        <w:framePr w:hSpace="141" w:wrap="around" w:vAnchor="text" w:hAnchor="margin" w:y="1"/>
        <w:spacing w:after="0" w:line="240" w:lineRule="auto"/>
        <w:jc w:val="center"/>
        <w:rPr>
          <w:b/>
          <w:sz w:val="32"/>
          <w:szCs w:val="32"/>
        </w:rPr>
      </w:pPr>
      <w:r w:rsidRPr="00FF71D8">
        <w:rPr>
          <w:b/>
          <w:sz w:val="32"/>
          <w:szCs w:val="32"/>
        </w:rPr>
        <w:t xml:space="preserve">L’Encyclopédie des </w:t>
      </w:r>
      <w:proofErr w:type="spellStart"/>
      <w:r w:rsidRPr="00FF71D8">
        <w:rPr>
          <w:b/>
          <w:sz w:val="32"/>
          <w:szCs w:val="32"/>
        </w:rPr>
        <w:t>Sous-Marins</w:t>
      </w:r>
      <w:proofErr w:type="spellEnd"/>
      <w:r w:rsidRPr="00FF71D8">
        <w:rPr>
          <w:b/>
          <w:sz w:val="32"/>
          <w:szCs w:val="32"/>
        </w:rPr>
        <w:t xml:space="preserve"> Français (ESMF)</w:t>
      </w:r>
    </w:p>
    <w:p w:rsidR="008748C6" w:rsidRDefault="008748C6" w:rsidP="003F1366">
      <w:pPr>
        <w:framePr w:hSpace="141" w:wrap="around" w:vAnchor="text" w:hAnchor="margin" w:y="1"/>
        <w:spacing w:after="0" w:line="240" w:lineRule="auto"/>
        <w:jc w:val="center"/>
        <w:rPr>
          <w:b/>
          <w:sz w:val="32"/>
          <w:szCs w:val="32"/>
        </w:rPr>
      </w:pPr>
      <w:r>
        <w:rPr>
          <w:b/>
          <w:sz w:val="32"/>
          <w:szCs w:val="32"/>
        </w:rPr>
        <w:t>« Terminé barre et machine ! »</w:t>
      </w:r>
    </w:p>
    <w:p w:rsidR="008748C6" w:rsidRDefault="008748C6" w:rsidP="003F1366">
      <w:pPr>
        <w:framePr w:hSpace="141" w:wrap="around" w:vAnchor="text" w:hAnchor="margin" w:y="1"/>
        <w:spacing w:after="0" w:line="240" w:lineRule="auto"/>
        <w:jc w:val="center"/>
        <w:rPr>
          <w:b/>
          <w:sz w:val="32"/>
          <w:szCs w:val="32"/>
        </w:rPr>
      </w:pPr>
    </w:p>
    <w:p w:rsidR="008748C6" w:rsidRDefault="008748C6" w:rsidP="003F1366">
      <w:pPr>
        <w:framePr w:hSpace="141" w:wrap="around" w:vAnchor="text" w:hAnchor="margin" w:y="1"/>
        <w:spacing w:after="0"/>
        <w:jc w:val="center"/>
        <w:rPr>
          <w:rFonts w:ascii="Times New Roman" w:hAnsi="Times New Roman"/>
          <w:sz w:val="24"/>
          <w:szCs w:val="24"/>
        </w:rPr>
      </w:pPr>
      <w:r w:rsidRPr="00341D6B">
        <w:rPr>
          <w:rFonts w:ascii="Times New Roman" w:hAnsi="Times New Roman"/>
          <w:sz w:val="24"/>
          <w:szCs w:val="24"/>
        </w:rPr>
        <w:t>Combien de fois cette phrase magique a-t-elle résonné dans les hauts et dans les bas, de l’avant à l’arrière des bâtiments de la Royale.</w:t>
      </w:r>
    </w:p>
    <w:p w:rsidR="008748C6" w:rsidRPr="00341D6B" w:rsidRDefault="008748C6" w:rsidP="003F1366">
      <w:pPr>
        <w:framePr w:hSpace="141" w:wrap="around" w:vAnchor="text" w:hAnchor="margin" w:y="1"/>
        <w:spacing w:after="0"/>
        <w:jc w:val="center"/>
        <w:rPr>
          <w:rFonts w:ascii="Times New Roman" w:hAnsi="Times New Roman"/>
          <w:sz w:val="24"/>
          <w:szCs w:val="24"/>
        </w:rPr>
      </w:pPr>
      <w:r w:rsidRPr="00341D6B">
        <w:rPr>
          <w:rFonts w:ascii="Times New Roman" w:hAnsi="Times New Roman"/>
          <w:sz w:val="24"/>
          <w:szCs w:val="24"/>
        </w:rPr>
        <w:t>« Terminé barre et machine »</w:t>
      </w:r>
      <w:r w:rsidR="00B36717">
        <w:rPr>
          <w:rFonts w:ascii="Times New Roman" w:hAnsi="Times New Roman"/>
          <w:sz w:val="24"/>
          <w:szCs w:val="24"/>
        </w:rPr>
        <w:t>,</w:t>
      </w:r>
      <w:r w:rsidRPr="00341D6B">
        <w:rPr>
          <w:rFonts w:ascii="Times New Roman" w:hAnsi="Times New Roman"/>
          <w:sz w:val="24"/>
          <w:szCs w:val="24"/>
        </w:rPr>
        <w:t xml:space="preserve"> « Prendre la tenue de repos ».</w:t>
      </w:r>
    </w:p>
    <w:p w:rsidR="008748C6" w:rsidRPr="00341D6B" w:rsidRDefault="008748C6" w:rsidP="003F1366">
      <w:pPr>
        <w:framePr w:hSpace="141" w:wrap="around" w:vAnchor="text" w:hAnchor="margin" w:y="1"/>
        <w:spacing w:after="0"/>
        <w:jc w:val="center"/>
        <w:rPr>
          <w:rFonts w:ascii="Times New Roman" w:hAnsi="Times New Roman"/>
          <w:sz w:val="24"/>
          <w:szCs w:val="24"/>
        </w:rPr>
      </w:pPr>
    </w:p>
    <w:p w:rsidR="008748C6" w:rsidRDefault="008748C6" w:rsidP="003F1366">
      <w:pPr>
        <w:framePr w:hSpace="141" w:wrap="around" w:vAnchor="text" w:hAnchor="margin" w:y="1"/>
        <w:spacing w:after="0"/>
        <w:jc w:val="both"/>
        <w:rPr>
          <w:rFonts w:ascii="Times New Roman" w:hAnsi="Times New Roman"/>
          <w:sz w:val="24"/>
          <w:szCs w:val="24"/>
        </w:rPr>
      </w:pPr>
      <w:r w:rsidRPr="00341D6B">
        <w:rPr>
          <w:rFonts w:ascii="Times New Roman" w:hAnsi="Times New Roman"/>
          <w:sz w:val="24"/>
          <w:szCs w:val="24"/>
        </w:rPr>
        <w:t xml:space="preserve">Et voilà </w:t>
      </w:r>
      <w:r w:rsidR="00B36717">
        <w:rPr>
          <w:rFonts w:ascii="Times New Roman" w:hAnsi="Times New Roman"/>
          <w:sz w:val="24"/>
          <w:szCs w:val="24"/>
        </w:rPr>
        <w:t xml:space="preserve">enfin </w:t>
      </w:r>
      <w:r>
        <w:rPr>
          <w:rFonts w:ascii="Times New Roman" w:hAnsi="Times New Roman"/>
          <w:sz w:val="24"/>
          <w:szCs w:val="24"/>
        </w:rPr>
        <w:t>ce tome 5 qui vient combler le vide</w:t>
      </w:r>
      <w:r w:rsidRPr="00341D6B">
        <w:rPr>
          <w:rFonts w:ascii="Times New Roman" w:hAnsi="Times New Roman"/>
          <w:sz w:val="24"/>
          <w:szCs w:val="24"/>
        </w:rPr>
        <w:t xml:space="preserve"> de la bibliothèque lais</w:t>
      </w:r>
      <w:r>
        <w:rPr>
          <w:rFonts w:ascii="Times New Roman" w:hAnsi="Times New Roman"/>
          <w:sz w:val="24"/>
          <w:szCs w:val="24"/>
        </w:rPr>
        <w:t xml:space="preserve">sé entre les tomes 4 et 6 de cette encyclopédie qui décrit les deux </w:t>
      </w:r>
      <w:proofErr w:type="spellStart"/>
      <w:r>
        <w:rPr>
          <w:rFonts w:ascii="Times New Roman" w:hAnsi="Times New Roman"/>
          <w:sz w:val="24"/>
          <w:szCs w:val="24"/>
        </w:rPr>
        <w:t>sièclesde</w:t>
      </w:r>
      <w:proofErr w:type="spellEnd"/>
      <w:r>
        <w:rPr>
          <w:rFonts w:ascii="Times New Roman" w:hAnsi="Times New Roman"/>
          <w:sz w:val="24"/>
          <w:szCs w:val="24"/>
        </w:rPr>
        <w:t xml:space="preserve"> l’histoire technique, opérationnelle et humaine dessous-marins français, ouvrage unique par son ampleur et par sa richesse iconographique.</w:t>
      </w:r>
    </w:p>
    <w:p w:rsidR="008748C6" w:rsidRPr="00341D6B" w:rsidRDefault="008748C6" w:rsidP="003F1366">
      <w:pPr>
        <w:framePr w:hSpace="141" w:wrap="around" w:vAnchor="text" w:hAnchor="margin" w:y="1"/>
        <w:spacing w:after="0"/>
        <w:jc w:val="both"/>
        <w:rPr>
          <w:rFonts w:ascii="Times New Roman" w:hAnsi="Times New Roman"/>
          <w:sz w:val="24"/>
          <w:szCs w:val="24"/>
        </w:rPr>
      </w:pPr>
    </w:p>
    <w:p w:rsidR="008748C6" w:rsidRPr="00341D6B" w:rsidRDefault="008748C6" w:rsidP="003F1366">
      <w:pPr>
        <w:framePr w:hSpace="141" w:wrap="around" w:vAnchor="text" w:hAnchor="margin" w:y="1"/>
        <w:spacing w:after="0"/>
        <w:jc w:val="both"/>
        <w:rPr>
          <w:rFonts w:ascii="Times New Roman" w:hAnsi="Times New Roman"/>
          <w:sz w:val="24"/>
          <w:szCs w:val="24"/>
        </w:rPr>
      </w:pPr>
      <w:r>
        <w:rPr>
          <w:rFonts w:ascii="Times New Roman" w:hAnsi="Times New Roman"/>
          <w:sz w:val="24"/>
          <w:szCs w:val="24"/>
        </w:rPr>
        <w:t>S</w:t>
      </w:r>
      <w:r w:rsidRPr="00341D6B">
        <w:rPr>
          <w:rFonts w:ascii="Times New Roman" w:hAnsi="Times New Roman"/>
          <w:sz w:val="24"/>
          <w:szCs w:val="24"/>
        </w:rPr>
        <w:t xml:space="preserve">eize années </w:t>
      </w:r>
      <w:r>
        <w:rPr>
          <w:rFonts w:ascii="Times New Roman" w:hAnsi="Times New Roman"/>
          <w:sz w:val="24"/>
          <w:szCs w:val="24"/>
        </w:rPr>
        <w:t xml:space="preserve">auront été nécessaires </w:t>
      </w:r>
      <w:r w:rsidRPr="00341D6B">
        <w:rPr>
          <w:rFonts w:ascii="Times New Roman" w:hAnsi="Times New Roman"/>
          <w:sz w:val="24"/>
          <w:szCs w:val="24"/>
        </w:rPr>
        <w:t>pour remonter des premières ébauches</w:t>
      </w:r>
      <w:r>
        <w:rPr>
          <w:rFonts w:ascii="Times New Roman" w:hAnsi="Times New Roman"/>
          <w:sz w:val="24"/>
          <w:szCs w:val="24"/>
        </w:rPr>
        <w:t xml:space="preserve"> de Fulton</w:t>
      </w:r>
      <w:r w:rsidRPr="00341D6B">
        <w:rPr>
          <w:rFonts w:ascii="Times New Roman" w:hAnsi="Times New Roman"/>
          <w:sz w:val="24"/>
          <w:szCs w:val="24"/>
        </w:rPr>
        <w:t xml:space="preserve"> au Triomphant et au Suffren.</w:t>
      </w:r>
    </w:p>
    <w:p w:rsidR="008748C6" w:rsidRPr="00341D6B" w:rsidRDefault="00B36717" w:rsidP="003F1366">
      <w:pPr>
        <w:framePr w:hSpace="141" w:wrap="around" w:vAnchor="text" w:hAnchor="margin" w:y="1"/>
        <w:spacing w:after="0"/>
        <w:jc w:val="both"/>
        <w:rPr>
          <w:rFonts w:ascii="Times New Roman" w:hAnsi="Times New Roman"/>
          <w:sz w:val="24"/>
          <w:szCs w:val="24"/>
        </w:rPr>
      </w:pPr>
      <w:r>
        <w:rPr>
          <w:rFonts w:ascii="Times New Roman" w:hAnsi="Times New Roman"/>
          <w:sz w:val="24"/>
          <w:szCs w:val="24"/>
        </w:rPr>
        <w:t>La route aura été rude et c</w:t>
      </w:r>
      <w:r w:rsidR="008748C6" w:rsidRPr="00341D6B">
        <w:rPr>
          <w:rFonts w:ascii="Times New Roman" w:hAnsi="Times New Roman"/>
          <w:sz w:val="24"/>
          <w:szCs w:val="24"/>
        </w:rPr>
        <w:t>omme Vasco de Gama, son chef n’aura pu boucler son tour du monde. Mais le s</w:t>
      </w:r>
      <w:r w:rsidR="008748C6">
        <w:rPr>
          <w:rFonts w:ascii="Times New Roman" w:hAnsi="Times New Roman"/>
          <w:sz w:val="24"/>
          <w:szCs w:val="24"/>
        </w:rPr>
        <w:t>ens de la mission et la volonté du VAE</w:t>
      </w:r>
      <w:r w:rsidR="008748C6" w:rsidRPr="00341D6B">
        <w:rPr>
          <w:rFonts w:ascii="Times New Roman" w:hAnsi="Times New Roman"/>
          <w:sz w:val="24"/>
          <w:szCs w:val="24"/>
        </w:rPr>
        <w:t xml:space="preserve"> Thierry d’</w:t>
      </w:r>
      <w:proofErr w:type="spellStart"/>
      <w:r w:rsidR="008748C6" w:rsidRPr="00341D6B">
        <w:rPr>
          <w:rFonts w:ascii="Times New Roman" w:hAnsi="Times New Roman"/>
          <w:sz w:val="24"/>
          <w:szCs w:val="24"/>
        </w:rPr>
        <w:t>Arbonneau</w:t>
      </w:r>
      <w:proofErr w:type="spellEnd"/>
      <w:r w:rsidR="008748C6" w:rsidRPr="00341D6B">
        <w:rPr>
          <w:rFonts w:ascii="Times New Roman" w:hAnsi="Times New Roman"/>
          <w:sz w:val="24"/>
          <w:szCs w:val="24"/>
        </w:rPr>
        <w:t xml:space="preserve"> auront été</w:t>
      </w:r>
      <w:r w:rsidR="008748C6">
        <w:rPr>
          <w:rFonts w:ascii="Times New Roman" w:hAnsi="Times New Roman"/>
          <w:sz w:val="24"/>
          <w:szCs w:val="24"/>
        </w:rPr>
        <w:t xml:space="preserve"> </w:t>
      </w:r>
      <w:r w:rsidR="008748C6" w:rsidRPr="00341D6B">
        <w:rPr>
          <w:rFonts w:ascii="Times New Roman" w:hAnsi="Times New Roman"/>
          <w:sz w:val="24"/>
          <w:szCs w:val="24"/>
        </w:rPr>
        <w:t xml:space="preserve">plus forts et auront permis à son état-major, sous </w:t>
      </w:r>
      <w:r>
        <w:rPr>
          <w:rFonts w:ascii="Times New Roman" w:hAnsi="Times New Roman"/>
          <w:sz w:val="24"/>
          <w:szCs w:val="24"/>
        </w:rPr>
        <w:t>la direction</w:t>
      </w:r>
      <w:r w:rsidR="008748C6">
        <w:rPr>
          <w:rFonts w:ascii="Times New Roman" w:hAnsi="Times New Roman"/>
          <w:sz w:val="24"/>
          <w:szCs w:val="24"/>
        </w:rPr>
        <w:t xml:space="preserve"> du CA(2) </w:t>
      </w:r>
      <w:r w:rsidR="008748C6" w:rsidRPr="00341D6B">
        <w:rPr>
          <w:rFonts w:ascii="Times New Roman" w:hAnsi="Times New Roman"/>
          <w:sz w:val="24"/>
          <w:szCs w:val="24"/>
        </w:rPr>
        <w:t>Jehan Marion, d’assurer avec détermination les quelques nautiques qu’il</w:t>
      </w:r>
      <w:r w:rsidR="008748C6">
        <w:rPr>
          <w:rFonts w:ascii="Times New Roman" w:hAnsi="Times New Roman"/>
          <w:sz w:val="24"/>
          <w:szCs w:val="24"/>
        </w:rPr>
        <w:t xml:space="preserve"> re</w:t>
      </w:r>
      <w:r w:rsidR="008748C6" w:rsidRPr="00341D6B">
        <w:rPr>
          <w:rFonts w:ascii="Times New Roman" w:hAnsi="Times New Roman"/>
          <w:sz w:val="24"/>
          <w:szCs w:val="24"/>
        </w:rPr>
        <w:t>stait à parcourir</w:t>
      </w:r>
      <w:r>
        <w:rPr>
          <w:rFonts w:ascii="Times New Roman" w:hAnsi="Times New Roman"/>
          <w:sz w:val="24"/>
          <w:szCs w:val="24"/>
        </w:rPr>
        <w:t xml:space="preserve"> … au milieu des écueils !</w:t>
      </w:r>
    </w:p>
    <w:p w:rsidR="008748C6" w:rsidRPr="00341D6B" w:rsidRDefault="008748C6" w:rsidP="003F1366">
      <w:pPr>
        <w:framePr w:hSpace="141" w:wrap="around" w:vAnchor="text" w:hAnchor="margin" w:y="1"/>
        <w:spacing w:after="0"/>
        <w:jc w:val="both"/>
        <w:rPr>
          <w:rFonts w:ascii="Times New Roman" w:hAnsi="Times New Roman"/>
          <w:sz w:val="24"/>
          <w:szCs w:val="24"/>
        </w:rPr>
      </w:pPr>
      <w:r w:rsidRPr="00341D6B">
        <w:rPr>
          <w:rFonts w:ascii="Times New Roman" w:hAnsi="Times New Roman"/>
          <w:sz w:val="24"/>
          <w:szCs w:val="24"/>
        </w:rPr>
        <w:t>La campagne aura été scientifique, technologique, industrielle et opérationnelle. Que de faces cachées ou mal connues ici révélées.</w:t>
      </w:r>
    </w:p>
    <w:p w:rsidR="008748C6" w:rsidRDefault="008748C6" w:rsidP="003F1366">
      <w:pPr>
        <w:framePr w:hSpace="141" w:wrap="around" w:vAnchor="text" w:hAnchor="margin" w:y="1"/>
        <w:spacing w:after="0"/>
        <w:jc w:val="both"/>
        <w:rPr>
          <w:rFonts w:ascii="Times New Roman" w:hAnsi="Times New Roman"/>
          <w:sz w:val="24"/>
          <w:szCs w:val="24"/>
        </w:rPr>
      </w:pPr>
      <w:r w:rsidRPr="00341D6B">
        <w:rPr>
          <w:rFonts w:ascii="Times New Roman" w:hAnsi="Times New Roman"/>
          <w:sz w:val="24"/>
          <w:szCs w:val="24"/>
        </w:rPr>
        <w:t xml:space="preserve">Le président de l’académie des arts, Michel </w:t>
      </w:r>
      <w:proofErr w:type="spellStart"/>
      <w:r w:rsidRPr="00341D6B">
        <w:rPr>
          <w:rFonts w:ascii="Times New Roman" w:hAnsi="Times New Roman"/>
          <w:sz w:val="24"/>
          <w:szCs w:val="24"/>
        </w:rPr>
        <w:t>Bez</w:t>
      </w:r>
      <w:proofErr w:type="spellEnd"/>
      <w:r w:rsidRPr="00341D6B">
        <w:rPr>
          <w:rFonts w:ascii="Times New Roman" w:hAnsi="Times New Roman"/>
          <w:sz w:val="24"/>
          <w:szCs w:val="24"/>
        </w:rPr>
        <w:t>, nous aura aussi quittés mais l’e</w:t>
      </w:r>
      <w:r>
        <w:rPr>
          <w:rFonts w:ascii="Times New Roman" w:hAnsi="Times New Roman"/>
          <w:sz w:val="24"/>
          <w:szCs w:val="24"/>
        </w:rPr>
        <w:t xml:space="preserve">xploration aura </w:t>
      </w:r>
      <w:r w:rsidR="00B36717">
        <w:rPr>
          <w:rFonts w:ascii="Times New Roman" w:hAnsi="Times New Roman"/>
          <w:sz w:val="24"/>
          <w:szCs w:val="24"/>
        </w:rPr>
        <w:t xml:space="preserve">grâce à lui </w:t>
      </w:r>
      <w:r>
        <w:rPr>
          <w:rFonts w:ascii="Times New Roman" w:hAnsi="Times New Roman"/>
          <w:sz w:val="24"/>
          <w:szCs w:val="24"/>
        </w:rPr>
        <w:t>été</w:t>
      </w:r>
      <w:r w:rsidR="00B36717">
        <w:rPr>
          <w:rFonts w:ascii="Times New Roman" w:hAnsi="Times New Roman"/>
          <w:sz w:val="24"/>
          <w:szCs w:val="24"/>
        </w:rPr>
        <w:t xml:space="preserve"> également</w:t>
      </w:r>
      <w:r>
        <w:rPr>
          <w:rFonts w:ascii="Times New Roman" w:hAnsi="Times New Roman"/>
          <w:sz w:val="24"/>
          <w:szCs w:val="24"/>
        </w:rPr>
        <w:t xml:space="preserve"> artistique.</w:t>
      </w:r>
    </w:p>
    <w:p w:rsidR="00F11AA2" w:rsidRDefault="008748C6" w:rsidP="003F1366">
      <w:pPr>
        <w:rPr>
          <w:rFonts w:ascii="Times New Roman" w:hAnsi="Times New Roman"/>
          <w:sz w:val="24"/>
          <w:szCs w:val="24"/>
        </w:rPr>
      </w:pPr>
      <w:r w:rsidRPr="00341D6B">
        <w:rPr>
          <w:rFonts w:ascii="Times New Roman" w:hAnsi="Times New Roman"/>
          <w:sz w:val="24"/>
          <w:szCs w:val="24"/>
        </w:rPr>
        <w:t>Des aquarelles, des dessins, des photos, des plans, beaucoup de</w:t>
      </w:r>
      <w:r>
        <w:rPr>
          <w:rFonts w:ascii="Times New Roman" w:hAnsi="Times New Roman"/>
          <w:sz w:val="24"/>
          <w:szCs w:val="24"/>
        </w:rPr>
        <w:t xml:space="preserve"> </w:t>
      </w:r>
      <w:r w:rsidRPr="00341D6B">
        <w:rPr>
          <w:rFonts w:ascii="Times New Roman" w:hAnsi="Times New Roman"/>
          <w:sz w:val="24"/>
          <w:szCs w:val="24"/>
        </w:rPr>
        <w:t>superbes</w:t>
      </w:r>
      <w:r w:rsidR="002C1944">
        <w:rPr>
          <w:rFonts w:ascii="Times New Roman" w:hAnsi="Times New Roman"/>
          <w:sz w:val="24"/>
          <w:szCs w:val="24"/>
        </w:rPr>
        <w:t xml:space="preserve"> </w:t>
      </w:r>
      <w:r w:rsidR="00B36717">
        <w:rPr>
          <w:rFonts w:ascii="Times New Roman" w:hAnsi="Times New Roman"/>
          <w:sz w:val="24"/>
          <w:szCs w:val="24"/>
        </w:rPr>
        <w:t>témoignages</w:t>
      </w:r>
      <w:r>
        <w:rPr>
          <w:rFonts w:ascii="Times New Roman" w:hAnsi="Times New Roman"/>
          <w:sz w:val="24"/>
          <w:szCs w:val="24"/>
        </w:rPr>
        <w:t xml:space="preserve"> pour mieux faire connaître ces</w:t>
      </w:r>
      <w:r w:rsidRPr="00341D6B">
        <w:rPr>
          <w:rFonts w:ascii="Times New Roman" w:hAnsi="Times New Roman"/>
          <w:sz w:val="24"/>
          <w:szCs w:val="24"/>
        </w:rPr>
        <w:t xml:space="preserve"> être</w:t>
      </w:r>
      <w:r>
        <w:rPr>
          <w:rFonts w:ascii="Times New Roman" w:hAnsi="Times New Roman"/>
          <w:sz w:val="24"/>
          <w:szCs w:val="24"/>
        </w:rPr>
        <w:t>s</w:t>
      </w:r>
      <w:r w:rsidRPr="00341D6B">
        <w:rPr>
          <w:rFonts w:ascii="Times New Roman" w:hAnsi="Times New Roman"/>
          <w:sz w:val="24"/>
          <w:szCs w:val="24"/>
        </w:rPr>
        <w:t xml:space="preserve"> curieux qui se cache</w:t>
      </w:r>
      <w:r>
        <w:rPr>
          <w:rFonts w:ascii="Times New Roman" w:hAnsi="Times New Roman"/>
          <w:sz w:val="24"/>
          <w:szCs w:val="24"/>
        </w:rPr>
        <w:t>nt</w:t>
      </w:r>
      <w:r w:rsidRPr="00341D6B">
        <w:rPr>
          <w:rFonts w:ascii="Times New Roman" w:hAnsi="Times New Roman"/>
          <w:sz w:val="24"/>
          <w:szCs w:val="24"/>
        </w:rPr>
        <w:t xml:space="preserve"> sous la mer</w:t>
      </w:r>
      <w:r w:rsidR="00B36717">
        <w:rPr>
          <w:rFonts w:ascii="Times New Roman" w:hAnsi="Times New Roman"/>
          <w:sz w:val="24"/>
          <w:szCs w:val="24"/>
        </w:rPr>
        <w:t>.</w:t>
      </w:r>
    </w:p>
    <w:p w:rsidR="00B36717" w:rsidRDefault="00B36717" w:rsidP="003F1366">
      <w:pPr>
        <w:rPr>
          <w:rFonts w:ascii="Times New Roman" w:hAnsi="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
        <w:gridCol w:w="2859"/>
        <w:gridCol w:w="2120"/>
        <w:gridCol w:w="1077"/>
        <w:gridCol w:w="3367"/>
        <w:gridCol w:w="1353"/>
        <w:gridCol w:w="1860"/>
        <w:gridCol w:w="3042"/>
        <w:gridCol w:w="26"/>
      </w:tblGrid>
      <w:tr w:rsidR="008748C6" w:rsidTr="00CD5A44">
        <w:tc>
          <w:tcPr>
            <w:tcW w:w="3127" w:type="dxa"/>
            <w:gridSpan w:val="2"/>
          </w:tcPr>
          <w:p w:rsidR="008748C6" w:rsidRDefault="008748C6" w:rsidP="003F1366">
            <w:r>
              <w:rPr>
                <w:b/>
                <w:noProof/>
                <w:sz w:val="32"/>
                <w:szCs w:val="32"/>
                <w:lang w:eastAsia="fr-FR"/>
              </w:rPr>
              <w:drawing>
                <wp:inline distT="0" distB="0" distL="0" distR="0">
                  <wp:extent cx="1847850" cy="2486025"/>
                  <wp:effectExtent l="19050" t="0" r="0" b="0"/>
                  <wp:docPr id="7" name="Image 5" descr="C:\Users\Jehan\AppData\Local\Microsoft\Windows\INetCache\Content.Word\couv 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Jehan\AppData\Local\Microsoft\Windows\INetCache\Content.Word\couv T1.jpg"/>
                          <pic:cNvPicPr>
                            <a:picLocks noChangeAspect="1" noChangeArrowheads="1"/>
                          </pic:cNvPicPr>
                        </pic:nvPicPr>
                        <pic:blipFill>
                          <a:blip r:embed="rId5" cstate="print"/>
                          <a:srcRect/>
                          <a:stretch>
                            <a:fillRect/>
                          </a:stretch>
                        </pic:blipFill>
                        <pic:spPr bwMode="auto">
                          <a:xfrm>
                            <a:off x="0" y="0"/>
                            <a:ext cx="1847850" cy="2486025"/>
                          </a:xfrm>
                          <a:prstGeom prst="rect">
                            <a:avLst/>
                          </a:prstGeom>
                          <a:noFill/>
                          <a:ln w="9525">
                            <a:noFill/>
                            <a:miter lim="800000"/>
                            <a:headEnd/>
                            <a:tailEnd/>
                          </a:ln>
                        </pic:spPr>
                      </pic:pic>
                    </a:graphicData>
                  </a:graphic>
                </wp:inline>
              </w:drawing>
            </w:r>
          </w:p>
        </w:tc>
        <w:tc>
          <w:tcPr>
            <w:tcW w:w="3199" w:type="dxa"/>
            <w:gridSpan w:val="2"/>
          </w:tcPr>
          <w:p w:rsidR="008748C6" w:rsidRDefault="008748C6" w:rsidP="003F1366">
            <w:r>
              <w:rPr>
                <w:noProof/>
                <w:lang w:eastAsia="fr-FR"/>
              </w:rPr>
              <w:drawing>
                <wp:inline distT="0" distB="0" distL="0" distR="0">
                  <wp:extent cx="1876425" cy="2447925"/>
                  <wp:effectExtent l="19050" t="0" r="9525" b="0"/>
                  <wp:docPr id="10" name="Image 1" descr="couv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uv T2"/>
                          <pic:cNvPicPr>
                            <a:picLocks noChangeAspect="1" noChangeArrowheads="1"/>
                          </pic:cNvPicPr>
                        </pic:nvPicPr>
                        <pic:blipFill>
                          <a:blip r:embed="rId6" cstate="print"/>
                          <a:srcRect/>
                          <a:stretch>
                            <a:fillRect/>
                          </a:stretch>
                        </pic:blipFill>
                        <pic:spPr bwMode="auto">
                          <a:xfrm>
                            <a:off x="0" y="0"/>
                            <a:ext cx="1876425" cy="2447925"/>
                          </a:xfrm>
                          <a:prstGeom prst="rect">
                            <a:avLst/>
                          </a:prstGeom>
                          <a:noFill/>
                          <a:ln w="9525">
                            <a:noFill/>
                            <a:miter lim="800000"/>
                            <a:headEnd/>
                            <a:tailEnd/>
                          </a:ln>
                        </pic:spPr>
                      </pic:pic>
                    </a:graphicData>
                  </a:graphic>
                </wp:inline>
              </w:drawing>
            </w:r>
          </w:p>
        </w:tc>
        <w:tc>
          <w:tcPr>
            <w:tcW w:w="3266" w:type="dxa"/>
          </w:tcPr>
          <w:p w:rsidR="008748C6" w:rsidRDefault="008748C6" w:rsidP="003F1366">
            <w:r>
              <w:rPr>
                <w:noProof/>
                <w:lang w:eastAsia="fr-FR"/>
              </w:rPr>
              <w:drawing>
                <wp:inline distT="0" distB="0" distL="0" distR="0">
                  <wp:extent cx="1905000" cy="2457450"/>
                  <wp:effectExtent l="19050" t="0" r="0" b="0"/>
                  <wp:docPr id="13" name="Image 2" descr="couv 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uv T3"/>
                          <pic:cNvPicPr>
                            <a:picLocks noChangeAspect="1" noChangeArrowheads="1"/>
                          </pic:cNvPicPr>
                        </pic:nvPicPr>
                        <pic:blipFill>
                          <a:blip r:embed="rId7" cstate="print"/>
                          <a:srcRect/>
                          <a:stretch>
                            <a:fillRect/>
                          </a:stretch>
                        </pic:blipFill>
                        <pic:spPr bwMode="auto">
                          <a:xfrm>
                            <a:off x="0" y="0"/>
                            <a:ext cx="1905000" cy="2457450"/>
                          </a:xfrm>
                          <a:prstGeom prst="rect">
                            <a:avLst/>
                          </a:prstGeom>
                          <a:noFill/>
                          <a:ln w="9525">
                            <a:noFill/>
                            <a:miter lim="800000"/>
                            <a:headEnd/>
                            <a:tailEnd/>
                          </a:ln>
                        </pic:spPr>
                      </pic:pic>
                    </a:graphicData>
                  </a:graphic>
                </wp:inline>
              </w:drawing>
            </w:r>
          </w:p>
        </w:tc>
        <w:tc>
          <w:tcPr>
            <w:tcW w:w="3201" w:type="dxa"/>
            <w:gridSpan w:val="2"/>
          </w:tcPr>
          <w:p w:rsidR="008748C6" w:rsidRDefault="008748C6" w:rsidP="003F1366">
            <w:r>
              <w:rPr>
                <w:noProof/>
                <w:lang w:eastAsia="fr-FR"/>
              </w:rPr>
              <w:drawing>
                <wp:inline distT="0" distB="0" distL="0" distR="0">
                  <wp:extent cx="1885950" cy="2447925"/>
                  <wp:effectExtent l="19050" t="0" r="0" b="0"/>
                  <wp:docPr id="16" name="Image 3" descr="couv 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ouv T4"/>
                          <pic:cNvPicPr>
                            <a:picLocks noChangeAspect="1" noChangeArrowheads="1"/>
                          </pic:cNvPicPr>
                        </pic:nvPicPr>
                        <pic:blipFill>
                          <a:blip r:embed="rId8" cstate="print"/>
                          <a:srcRect/>
                          <a:stretch>
                            <a:fillRect/>
                          </a:stretch>
                        </pic:blipFill>
                        <pic:spPr bwMode="auto">
                          <a:xfrm>
                            <a:off x="0" y="0"/>
                            <a:ext cx="1885950" cy="2447925"/>
                          </a:xfrm>
                          <a:prstGeom prst="rect">
                            <a:avLst/>
                          </a:prstGeom>
                          <a:noFill/>
                          <a:ln w="9525">
                            <a:noFill/>
                            <a:miter lim="800000"/>
                            <a:headEnd/>
                            <a:tailEnd/>
                          </a:ln>
                        </pic:spPr>
                      </pic:pic>
                    </a:graphicData>
                  </a:graphic>
                </wp:inline>
              </w:drawing>
            </w:r>
          </w:p>
        </w:tc>
        <w:tc>
          <w:tcPr>
            <w:tcW w:w="3127" w:type="dxa"/>
            <w:gridSpan w:val="2"/>
          </w:tcPr>
          <w:p w:rsidR="008748C6" w:rsidRDefault="008748C6" w:rsidP="003F1366">
            <w:r>
              <w:rPr>
                <w:noProof/>
                <w:lang w:eastAsia="fr-FR"/>
              </w:rPr>
              <w:drawing>
                <wp:inline distT="0" distB="0" distL="0" distR="0">
                  <wp:extent cx="1838325" cy="2457450"/>
                  <wp:effectExtent l="19050" t="0" r="9525" b="0"/>
                  <wp:docPr id="19" name="Image 4" descr="couv 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ouv T6"/>
                          <pic:cNvPicPr>
                            <a:picLocks noChangeAspect="1" noChangeArrowheads="1"/>
                          </pic:cNvPicPr>
                        </pic:nvPicPr>
                        <pic:blipFill>
                          <a:blip r:embed="rId9" cstate="print"/>
                          <a:srcRect/>
                          <a:stretch>
                            <a:fillRect/>
                          </a:stretch>
                        </pic:blipFill>
                        <pic:spPr bwMode="auto">
                          <a:xfrm>
                            <a:off x="0" y="0"/>
                            <a:ext cx="1838325" cy="2457450"/>
                          </a:xfrm>
                          <a:prstGeom prst="rect">
                            <a:avLst/>
                          </a:prstGeom>
                          <a:noFill/>
                          <a:ln w="9525">
                            <a:noFill/>
                            <a:miter lim="800000"/>
                            <a:headEnd/>
                            <a:tailEnd/>
                          </a:ln>
                        </pic:spPr>
                      </pic:pic>
                    </a:graphicData>
                  </a:graphic>
                </wp:inline>
              </w:drawing>
            </w:r>
          </w:p>
        </w:tc>
      </w:tr>
      <w:tr w:rsidR="008748C6" w:rsidTr="00CD5A44">
        <w:tc>
          <w:tcPr>
            <w:tcW w:w="3127" w:type="dxa"/>
            <w:gridSpan w:val="2"/>
          </w:tcPr>
          <w:p w:rsidR="003F1366" w:rsidRDefault="003F1366" w:rsidP="003F1366">
            <w:pPr>
              <w:jc w:val="center"/>
              <w:rPr>
                <w:b/>
              </w:rPr>
            </w:pPr>
          </w:p>
          <w:p w:rsidR="008748C6" w:rsidRPr="003F1366" w:rsidRDefault="008748C6" w:rsidP="003F1366">
            <w:pPr>
              <w:jc w:val="center"/>
              <w:rPr>
                <w:b/>
              </w:rPr>
            </w:pPr>
            <w:r w:rsidRPr="003F1366">
              <w:rPr>
                <w:b/>
              </w:rPr>
              <w:t>Tome 1</w:t>
            </w:r>
          </w:p>
          <w:p w:rsidR="008748C6" w:rsidRPr="003F1366" w:rsidRDefault="008748C6" w:rsidP="003F1366">
            <w:pPr>
              <w:jc w:val="center"/>
              <w:rPr>
                <w:b/>
              </w:rPr>
            </w:pPr>
            <w:r w:rsidRPr="003F1366">
              <w:rPr>
                <w:b/>
              </w:rPr>
              <w:t>Naissance d’une arme nouvelle</w:t>
            </w:r>
          </w:p>
          <w:p w:rsidR="008748C6" w:rsidRDefault="008748C6" w:rsidP="003F1366">
            <w:pPr>
              <w:jc w:val="center"/>
            </w:pPr>
            <w:r w:rsidRPr="003F1366">
              <w:rPr>
                <w:b/>
              </w:rPr>
              <w:t>1800 - 1920</w:t>
            </w:r>
          </w:p>
        </w:tc>
        <w:tc>
          <w:tcPr>
            <w:tcW w:w="3199" w:type="dxa"/>
            <w:gridSpan w:val="2"/>
          </w:tcPr>
          <w:p w:rsidR="003F1366" w:rsidRDefault="003F1366" w:rsidP="003F1366">
            <w:pPr>
              <w:jc w:val="center"/>
              <w:rPr>
                <w:b/>
              </w:rPr>
            </w:pPr>
          </w:p>
          <w:p w:rsidR="008748C6" w:rsidRPr="003F1366" w:rsidRDefault="008748C6" w:rsidP="003F1366">
            <w:pPr>
              <w:jc w:val="center"/>
              <w:rPr>
                <w:b/>
              </w:rPr>
            </w:pPr>
            <w:r w:rsidRPr="003F1366">
              <w:rPr>
                <w:b/>
              </w:rPr>
              <w:t>Tome 2</w:t>
            </w:r>
          </w:p>
          <w:p w:rsidR="008748C6" w:rsidRPr="003F1366" w:rsidRDefault="008748C6" w:rsidP="003F1366">
            <w:pPr>
              <w:jc w:val="center"/>
              <w:rPr>
                <w:b/>
              </w:rPr>
            </w:pPr>
            <w:r w:rsidRPr="003F1366">
              <w:rPr>
                <w:b/>
              </w:rPr>
              <w:t>D’une guerre à l’autre</w:t>
            </w:r>
          </w:p>
          <w:p w:rsidR="008748C6" w:rsidRPr="003F1366" w:rsidRDefault="008748C6" w:rsidP="003F1366">
            <w:pPr>
              <w:jc w:val="center"/>
              <w:rPr>
                <w:b/>
              </w:rPr>
            </w:pPr>
            <w:r w:rsidRPr="003F1366">
              <w:rPr>
                <w:b/>
              </w:rPr>
              <w:t>1920 - 1943</w:t>
            </w:r>
          </w:p>
        </w:tc>
        <w:tc>
          <w:tcPr>
            <w:tcW w:w="3266" w:type="dxa"/>
          </w:tcPr>
          <w:p w:rsidR="003F1366" w:rsidRDefault="003F1366" w:rsidP="003F1366">
            <w:pPr>
              <w:jc w:val="center"/>
              <w:rPr>
                <w:b/>
              </w:rPr>
            </w:pPr>
          </w:p>
          <w:p w:rsidR="008748C6" w:rsidRPr="003F1366" w:rsidRDefault="008748C6" w:rsidP="003F1366">
            <w:pPr>
              <w:jc w:val="center"/>
              <w:rPr>
                <w:b/>
              </w:rPr>
            </w:pPr>
            <w:r w:rsidRPr="003F1366">
              <w:rPr>
                <w:b/>
              </w:rPr>
              <w:t>Tome 3</w:t>
            </w:r>
          </w:p>
          <w:p w:rsidR="008748C6" w:rsidRPr="003F1366" w:rsidRDefault="008748C6" w:rsidP="003F1366">
            <w:pPr>
              <w:jc w:val="center"/>
              <w:rPr>
                <w:b/>
              </w:rPr>
            </w:pPr>
            <w:r w:rsidRPr="003F1366">
              <w:rPr>
                <w:b/>
              </w:rPr>
              <w:t>L’apogée des classiques</w:t>
            </w:r>
          </w:p>
          <w:p w:rsidR="008748C6" w:rsidRPr="003F1366" w:rsidRDefault="008748C6" w:rsidP="003F1366">
            <w:pPr>
              <w:jc w:val="center"/>
              <w:rPr>
                <w:b/>
              </w:rPr>
            </w:pPr>
            <w:r w:rsidRPr="003F1366">
              <w:rPr>
                <w:b/>
              </w:rPr>
              <w:t>1943 - 1970</w:t>
            </w:r>
          </w:p>
        </w:tc>
        <w:tc>
          <w:tcPr>
            <w:tcW w:w="3201" w:type="dxa"/>
            <w:gridSpan w:val="2"/>
          </w:tcPr>
          <w:p w:rsidR="003F1366" w:rsidRDefault="003F1366" w:rsidP="003F1366">
            <w:pPr>
              <w:jc w:val="center"/>
              <w:rPr>
                <w:b/>
              </w:rPr>
            </w:pPr>
          </w:p>
          <w:p w:rsidR="008748C6" w:rsidRPr="003F1366" w:rsidRDefault="008748C6" w:rsidP="003F1366">
            <w:pPr>
              <w:jc w:val="center"/>
              <w:rPr>
                <w:b/>
              </w:rPr>
            </w:pPr>
            <w:r w:rsidRPr="003F1366">
              <w:rPr>
                <w:b/>
              </w:rPr>
              <w:t>Tome 4</w:t>
            </w:r>
          </w:p>
          <w:p w:rsidR="008748C6" w:rsidRPr="003F1366" w:rsidRDefault="008748C6" w:rsidP="003F1366">
            <w:pPr>
              <w:jc w:val="center"/>
              <w:rPr>
                <w:b/>
              </w:rPr>
            </w:pPr>
            <w:r w:rsidRPr="003F1366">
              <w:rPr>
                <w:b/>
              </w:rPr>
              <w:t>La fin de la guerre froide</w:t>
            </w:r>
          </w:p>
          <w:p w:rsidR="008748C6" w:rsidRPr="003F1366" w:rsidRDefault="008748C6" w:rsidP="003F1366">
            <w:pPr>
              <w:jc w:val="center"/>
              <w:rPr>
                <w:b/>
              </w:rPr>
            </w:pPr>
            <w:r w:rsidRPr="003F1366">
              <w:rPr>
                <w:b/>
              </w:rPr>
              <w:t>1970 - 1989</w:t>
            </w:r>
          </w:p>
        </w:tc>
        <w:tc>
          <w:tcPr>
            <w:tcW w:w="3127" w:type="dxa"/>
            <w:gridSpan w:val="2"/>
          </w:tcPr>
          <w:p w:rsidR="003F1366" w:rsidRDefault="003F1366" w:rsidP="003F1366">
            <w:pPr>
              <w:jc w:val="center"/>
              <w:rPr>
                <w:b/>
              </w:rPr>
            </w:pPr>
          </w:p>
          <w:p w:rsidR="008748C6" w:rsidRPr="003F1366" w:rsidRDefault="008748C6" w:rsidP="003F1366">
            <w:pPr>
              <w:jc w:val="center"/>
              <w:rPr>
                <w:b/>
              </w:rPr>
            </w:pPr>
            <w:r w:rsidRPr="003F1366">
              <w:rPr>
                <w:b/>
              </w:rPr>
              <w:t>Tome 6</w:t>
            </w:r>
          </w:p>
          <w:p w:rsidR="008748C6" w:rsidRPr="003F1366" w:rsidRDefault="008748C6" w:rsidP="003F1366">
            <w:pPr>
              <w:jc w:val="center"/>
              <w:rPr>
                <w:b/>
              </w:rPr>
            </w:pPr>
            <w:r w:rsidRPr="003F1366">
              <w:rPr>
                <w:b/>
              </w:rPr>
              <w:t>Construction des sous-marins</w:t>
            </w:r>
          </w:p>
          <w:p w:rsidR="008748C6" w:rsidRPr="003F1366" w:rsidRDefault="008748C6" w:rsidP="003F1366">
            <w:pPr>
              <w:jc w:val="center"/>
              <w:rPr>
                <w:b/>
              </w:rPr>
            </w:pPr>
            <w:r w:rsidRPr="003F1366">
              <w:rPr>
                <w:b/>
              </w:rPr>
              <w:t>1800 – 2020</w:t>
            </w:r>
          </w:p>
          <w:p w:rsidR="008748C6" w:rsidRDefault="008748C6" w:rsidP="003F1366">
            <w:pPr>
              <w:jc w:val="center"/>
              <w:rPr>
                <w:b/>
              </w:rPr>
            </w:pPr>
          </w:p>
          <w:p w:rsidR="00CD5A44" w:rsidRDefault="00CD5A44" w:rsidP="003F1366">
            <w:pPr>
              <w:jc w:val="center"/>
              <w:rPr>
                <w:b/>
              </w:rPr>
            </w:pPr>
          </w:p>
          <w:p w:rsidR="00CD5A44" w:rsidRDefault="00CD5A44" w:rsidP="003F1366">
            <w:pPr>
              <w:jc w:val="center"/>
              <w:rPr>
                <w:b/>
              </w:rPr>
            </w:pPr>
          </w:p>
          <w:p w:rsidR="00CD5A44" w:rsidRPr="003F1366" w:rsidRDefault="00CD5A44" w:rsidP="003F1366">
            <w:pPr>
              <w:jc w:val="center"/>
              <w:rPr>
                <w:b/>
              </w:rPr>
            </w:pPr>
          </w:p>
        </w:tc>
      </w:tr>
      <w:tr w:rsidR="008748C6" w:rsidTr="00CD5A44">
        <w:trPr>
          <w:gridBefore w:val="1"/>
          <w:gridAfter w:val="1"/>
          <w:wBefore w:w="27" w:type="dxa"/>
          <w:wAfter w:w="22" w:type="dxa"/>
        </w:trPr>
        <w:tc>
          <w:tcPr>
            <w:tcW w:w="5269" w:type="dxa"/>
            <w:gridSpan w:val="2"/>
            <w:vMerge w:val="restart"/>
          </w:tcPr>
          <w:p w:rsidR="003F1366" w:rsidRDefault="003F1366" w:rsidP="003F1366"/>
          <w:p w:rsidR="008748C6" w:rsidRPr="00571950" w:rsidRDefault="008748C6" w:rsidP="003F1366">
            <w:pPr>
              <w:jc w:val="both"/>
              <w:rPr>
                <w:rFonts w:ascii="Times New Roman" w:hAnsi="Times New Roman"/>
              </w:rPr>
            </w:pPr>
            <w:r w:rsidRPr="00571950">
              <w:rPr>
                <w:rFonts w:ascii="Times New Roman" w:hAnsi="Times New Roman"/>
              </w:rPr>
              <w:t>Des dizaines d’hommes et de fem</w:t>
            </w:r>
            <w:r>
              <w:rPr>
                <w:rFonts w:ascii="Times New Roman" w:hAnsi="Times New Roman"/>
              </w:rPr>
              <w:t>mes, tous aussi passionnés, auront témoigné, décrypté</w:t>
            </w:r>
            <w:r w:rsidRPr="00571950">
              <w:rPr>
                <w:rFonts w:ascii="Times New Roman" w:hAnsi="Times New Roman"/>
              </w:rPr>
              <w:t xml:space="preserve"> et raconté. Raconté surtout que jamais en arriver au Triomphant et au Suffren n’aurait été possible sans le</w:t>
            </w:r>
            <w:r>
              <w:rPr>
                <w:rFonts w:ascii="Times New Roman" w:hAnsi="Times New Roman"/>
              </w:rPr>
              <w:t>s idées et</w:t>
            </w:r>
            <w:r w:rsidRPr="00571950">
              <w:rPr>
                <w:rFonts w:ascii="Times New Roman" w:hAnsi="Times New Roman"/>
              </w:rPr>
              <w:t xml:space="preserve"> l’engagement de quelques-uns depuis des décennies.</w:t>
            </w:r>
          </w:p>
          <w:p w:rsidR="008748C6" w:rsidRPr="00571950" w:rsidRDefault="008748C6" w:rsidP="003F1366">
            <w:pPr>
              <w:jc w:val="both"/>
              <w:rPr>
                <w:rFonts w:ascii="Times New Roman" w:hAnsi="Times New Roman"/>
              </w:rPr>
            </w:pPr>
            <w:r w:rsidRPr="00571950">
              <w:rPr>
                <w:rFonts w:ascii="Times New Roman" w:hAnsi="Times New Roman"/>
              </w:rPr>
              <w:t xml:space="preserve">« Les sous-marins, nous on sait faire » répétait à l’envi un ancien directeur </w:t>
            </w:r>
            <w:bookmarkStart w:id="0" w:name="_GoBack"/>
            <w:bookmarkEnd w:id="0"/>
            <w:r w:rsidRPr="00571950">
              <w:rPr>
                <w:rFonts w:ascii="Times New Roman" w:hAnsi="Times New Roman"/>
              </w:rPr>
              <w:t>de l’arsenal de</w:t>
            </w:r>
            <w:r>
              <w:rPr>
                <w:rFonts w:ascii="Times New Roman" w:hAnsi="Times New Roman"/>
              </w:rPr>
              <w:t xml:space="preserve"> Cherbourg. Oui on sait faire, en France, a</w:t>
            </w:r>
            <w:r w:rsidRPr="00571950">
              <w:rPr>
                <w:rFonts w:ascii="Times New Roman" w:hAnsi="Times New Roman"/>
              </w:rPr>
              <w:t>vec le talent de ceux qui y croient et ne renoncent jamais.</w:t>
            </w:r>
          </w:p>
          <w:p w:rsidR="008748C6" w:rsidRDefault="008748C6" w:rsidP="003F1366">
            <w:pPr>
              <w:jc w:val="both"/>
              <w:rPr>
                <w:rFonts w:ascii="Times New Roman" w:hAnsi="Times New Roman"/>
              </w:rPr>
            </w:pPr>
          </w:p>
          <w:p w:rsidR="008748C6" w:rsidRDefault="00A962CC" w:rsidP="003F1366">
            <w:pPr>
              <w:jc w:val="both"/>
              <w:rPr>
                <w:rFonts w:ascii="Times New Roman" w:hAnsi="Times New Roman"/>
              </w:rPr>
            </w:pPr>
            <w:r>
              <w:rPr>
                <w:rFonts w:ascii="Times New Roman" w:hAnsi="Times New Roman"/>
              </w:rPr>
              <w:t xml:space="preserve">Préfacé par l’Al Bernard </w:t>
            </w:r>
            <w:proofErr w:type="spellStart"/>
            <w:r>
              <w:rPr>
                <w:rFonts w:ascii="Times New Roman" w:hAnsi="Times New Roman"/>
              </w:rPr>
              <w:t>Rogel</w:t>
            </w:r>
            <w:proofErr w:type="spellEnd"/>
            <w:r>
              <w:rPr>
                <w:rFonts w:ascii="Times New Roman" w:hAnsi="Times New Roman"/>
              </w:rPr>
              <w:t xml:space="preserve"> et</w:t>
            </w:r>
            <w:r w:rsidR="00550AC8">
              <w:rPr>
                <w:rFonts w:ascii="Times New Roman" w:hAnsi="Times New Roman"/>
              </w:rPr>
              <w:t xml:space="preserve"> </w:t>
            </w:r>
            <w:r w:rsidR="008748C6">
              <w:rPr>
                <w:rFonts w:ascii="Times New Roman" w:hAnsi="Times New Roman"/>
              </w:rPr>
              <w:t xml:space="preserve">sous la direction du CA Jehan Marion, ancien CEM Alfost,  </w:t>
            </w:r>
            <w:r>
              <w:rPr>
                <w:rFonts w:ascii="Times New Roman" w:hAnsi="Times New Roman"/>
              </w:rPr>
              <w:t>le tome 5 a pour auteurs</w:t>
            </w:r>
            <w:r w:rsidR="008748C6">
              <w:rPr>
                <w:rFonts w:ascii="Times New Roman" w:hAnsi="Times New Roman"/>
              </w:rPr>
              <w:t> :</w:t>
            </w:r>
          </w:p>
          <w:p w:rsidR="003F1366" w:rsidRDefault="003F1366" w:rsidP="003F1366">
            <w:pPr>
              <w:jc w:val="both"/>
              <w:rPr>
                <w:rFonts w:ascii="Times New Roman" w:hAnsi="Times New Roman"/>
              </w:rPr>
            </w:pPr>
          </w:p>
          <w:p w:rsidR="008748C6" w:rsidRDefault="003F1366" w:rsidP="003F1366">
            <w:pPr>
              <w:jc w:val="both"/>
              <w:rPr>
                <w:rFonts w:ascii="Times New Roman" w:hAnsi="Times New Roman"/>
              </w:rPr>
            </w:pPr>
            <w:r>
              <w:rPr>
                <w:rFonts w:ascii="Times New Roman" w:hAnsi="Times New Roman"/>
              </w:rPr>
              <w:t>Le VAE Thierry d’</w:t>
            </w:r>
            <w:proofErr w:type="spellStart"/>
            <w:r>
              <w:rPr>
                <w:rFonts w:ascii="Times New Roman" w:hAnsi="Times New Roman"/>
              </w:rPr>
              <w:t>Arbonneau</w:t>
            </w:r>
            <w:proofErr w:type="spellEnd"/>
            <w:r>
              <w:rPr>
                <w:rFonts w:ascii="Times New Roman" w:hAnsi="Times New Roman"/>
              </w:rPr>
              <w:t>, Alfost</w:t>
            </w:r>
            <w:r w:rsidR="00B36717">
              <w:rPr>
                <w:rFonts w:ascii="Times New Roman" w:hAnsi="Times New Roman"/>
              </w:rPr>
              <w:t xml:space="preserve"> (†)</w:t>
            </w:r>
          </w:p>
          <w:p w:rsidR="008748C6" w:rsidRDefault="008748C6" w:rsidP="003F1366">
            <w:pPr>
              <w:jc w:val="both"/>
              <w:rPr>
                <w:rFonts w:ascii="Times New Roman" w:hAnsi="Times New Roman"/>
              </w:rPr>
            </w:pPr>
            <w:r>
              <w:rPr>
                <w:rFonts w:ascii="Times New Roman" w:hAnsi="Times New Roman"/>
              </w:rPr>
              <w:t>L’Amiral François Dupont, premier commandant du Triomphant, Inspecteur général des Armées</w:t>
            </w:r>
            <w:r w:rsidR="00B36717">
              <w:rPr>
                <w:rFonts w:ascii="Times New Roman" w:hAnsi="Times New Roman"/>
              </w:rPr>
              <w:t xml:space="preserve"> (†)</w:t>
            </w:r>
          </w:p>
          <w:p w:rsidR="008748C6" w:rsidRDefault="008748C6" w:rsidP="003F1366">
            <w:pPr>
              <w:jc w:val="both"/>
              <w:rPr>
                <w:rFonts w:ascii="Times New Roman" w:hAnsi="Times New Roman"/>
              </w:rPr>
            </w:pPr>
            <w:r>
              <w:rPr>
                <w:rFonts w:ascii="Times New Roman" w:hAnsi="Times New Roman"/>
              </w:rPr>
              <w:t>Le VAE Charles-Edouard de Coriolis, Alfost</w:t>
            </w:r>
          </w:p>
          <w:p w:rsidR="008748C6" w:rsidRDefault="008748C6" w:rsidP="003F1366">
            <w:pPr>
              <w:jc w:val="both"/>
              <w:rPr>
                <w:rFonts w:ascii="Times New Roman" w:hAnsi="Times New Roman"/>
              </w:rPr>
            </w:pPr>
            <w:r>
              <w:rPr>
                <w:rFonts w:ascii="Times New Roman" w:hAnsi="Times New Roman"/>
              </w:rPr>
              <w:t xml:space="preserve">L’IGA hors classe Gérald </w:t>
            </w:r>
            <w:proofErr w:type="spellStart"/>
            <w:r>
              <w:rPr>
                <w:rFonts w:ascii="Times New Roman" w:hAnsi="Times New Roman"/>
              </w:rPr>
              <w:t>Boisrayon</w:t>
            </w:r>
            <w:proofErr w:type="spellEnd"/>
            <w:r>
              <w:rPr>
                <w:rFonts w:ascii="Times New Roman" w:hAnsi="Times New Roman"/>
              </w:rPr>
              <w:t>, le père du Triomphant</w:t>
            </w:r>
          </w:p>
          <w:p w:rsidR="008748C6" w:rsidRDefault="008748C6" w:rsidP="003F1366">
            <w:pPr>
              <w:jc w:val="both"/>
              <w:rPr>
                <w:rFonts w:ascii="Times New Roman" w:hAnsi="Times New Roman"/>
              </w:rPr>
            </w:pPr>
            <w:r>
              <w:rPr>
                <w:rFonts w:ascii="Times New Roman" w:hAnsi="Times New Roman"/>
              </w:rPr>
              <w:t xml:space="preserve">L’IGA Jean Le </w:t>
            </w:r>
            <w:proofErr w:type="spellStart"/>
            <w:r>
              <w:rPr>
                <w:rFonts w:ascii="Times New Roman" w:hAnsi="Times New Roman"/>
              </w:rPr>
              <w:t>Tallec</w:t>
            </w:r>
            <w:proofErr w:type="gramStart"/>
            <w:r>
              <w:rPr>
                <w:rFonts w:ascii="Times New Roman" w:hAnsi="Times New Roman"/>
              </w:rPr>
              <w:t>,chef</w:t>
            </w:r>
            <w:proofErr w:type="spellEnd"/>
            <w:proofErr w:type="gramEnd"/>
            <w:r>
              <w:rPr>
                <w:rFonts w:ascii="Times New Roman" w:hAnsi="Times New Roman"/>
              </w:rPr>
              <w:t xml:space="preserve"> du département sous-marins du STCAN et Directeur technique de DCN</w:t>
            </w:r>
          </w:p>
          <w:p w:rsidR="008748C6" w:rsidRDefault="008748C6" w:rsidP="003F1366">
            <w:pPr>
              <w:jc w:val="both"/>
              <w:rPr>
                <w:rFonts w:ascii="Times New Roman" w:hAnsi="Times New Roman"/>
              </w:rPr>
            </w:pPr>
            <w:r>
              <w:rPr>
                <w:rFonts w:ascii="Times New Roman" w:hAnsi="Times New Roman"/>
              </w:rPr>
              <w:t xml:space="preserve">L’IGA Pierre </w:t>
            </w:r>
            <w:proofErr w:type="spellStart"/>
            <w:r>
              <w:rPr>
                <w:rFonts w:ascii="Times New Roman" w:hAnsi="Times New Roman"/>
              </w:rPr>
              <w:t>Quinchon</w:t>
            </w:r>
            <w:proofErr w:type="spellEnd"/>
            <w:r>
              <w:rPr>
                <w:rFonts w:ascii="Times New Roman" w:hAnsi="Times New Roman"/>
              </w:rPr>
              <w:t>, ingénieur chargé de la construction du Triomphant, directeur de l’arsenal de Cherbourg</w:t>
            </w:r>
          </w:p>
          <w:p w:rsidR="008748C6" w:rsidRDefault="008748C6" w:rsidP="003F1366">
            <w:pPr>
              <w:jc w:val="both"/>
              <w:rPr>
                <w:rFonts w:ascii="Times New Roman" w:hAnsi="Times New Roman"/>
              </w:rPr>
            </w:pPr>
            <w:r>
              <w:rPr>
                <w:rFonts w:ascii="Times New Roman" w:hAnsi="Times New Roman"/>
              </w:rPr>
              <w:t>Le CA Dominique Salles, ancien commandant de l’ESM/SNLE et président de l’AGASM</w:t>
            </w:r>
          </w:p>
          <w:p w:rsidR="008748C6" w:rsidRDefault="00A962CC" w:rsidP="003F1366">
            <w:pPr>
              <w:jc w:val="both"/>
              <w:rPr>
                <w:rFonts w:ascii="Times New Roman" w:hAnsi="Times New Roman"/>
              </w:rPr>
            </w:pPr>
            <w:r>
              <w:rPr>
                <w:rFonts w:ascii="Times New Roman" w:hAnsi="Times New Roman"/>
              </w:rPr>
              <w:t>Le CA J</w:t>
            </w:r>
            <w:r w:rsidR="008748C6">
              <w:rPr>
                <w:rFonts w:ascii="Times New Roman" w:hAnsi="Times New Roman"/>
              </w:rPr>
              <w:t xml:space="preserve">ean </w:t>
            </w:r>
            <w:proofErr w:type="spellStart"/>
            <w:r w:rsidR="008748C6">
              <w:rPr>
                <w:rFonts w:ascii="Times New Roman" w:hAnsi="Times New Roman"/>
              </w:rPr>
              <w:t>Riou</w:t>
            </w:r>
            <w:proofErr w:type="spellEnd"/>
            <w:r w:rsidR="008748C6">
              <w:rPr>
                <w:rFonts w:ascii="Times New Roman" w:hAnsi="Times New Roman"/>
              </w:rPr>
              <w:t xml:space="preserve">, ancien </w:t>
            </w:r>
            <w:proofErr w:type="spellStart"/>
            <w:r w:rsidR="008748C6">
              <w:rPr>
                <w:rFonts w:ascii="Times New Roman" w:hAnsi="Times New Roman"/>
              </w:rPr>
              <w:t>Comilo</w:t>
            </w:r>
            <w:proofErr w:type="spellEnd"/>
            <w:r w:rsidR="008748C6">
              <w:rPr>
                <w:rFonts w:ascii="Times New Roman" w:hAnsi="Times New Roman"/>
              </w:rPr>
              <w:t xml:space="preserve"> puis </w:t>
            </w:r>
            <w:proofErr w:type="spellStart"/>
            <w:r w:rsidR="008748C6">
              <w:rPr>
                <w:rFonts w:ascii="Times New Roman" w:hAnsi="Times New Roman"/>
              </w:rPr>
              <w:t>Alnuc</w:t>
            </w:r>
            <w:proofErr w:type="spellEnd"/>
          </w:p>
          <w:p w:rsidR="008748C6" w:rsidRDefault="008748C6" w:rsidP="003F1366">
            <w:pPr>
              <w:jc w:val="both"/>
              <w:rPr>
                <w:rFonts w:ascii="Times New Roman" w:hAnsi="Times New Roman"/>
              </w:rPr>
            </w:pPr>
            <w:r>
              <w:rPr>
                <w:rFonts w:ascii="Times New Roman" w:hAnsi="Times New Roman"/>
              </w:rPr>
              <w:t xml:space="preserve">Le CV Marc </w:t>
            </w:r>
            <w:proofErr w:type="spellStart"/>
            <w:r>
              <w:rPr>
                <w:rFonts w:ascii="Times New Roman" w:hAnsi="Times New Roman"/>
              </w:rPr>
              <w:t>Lanne</w:t>
            </w:r>
            <w:proofErr w:type="spellEnd"/>
            <w:r>
              <w:rPr>
                <w:rFonts w:ascii="Times New Roman" w:hAnsi="Times New Roman"/>
              </w:rPr>
              <w:t xml:space="preserve">, le </w:t>
            </w:r>
            <w:proofErr w:type="spellStart"/>
            <w:r>
              <w:rPr>
                <w:rFonts w:ascii="Times New Roman" w:hAnsi="Times New Roman"/>
              </w:rPr>
              <w:t>surfacier</w:t>
            </w:r>
            <w:proofErr w:type="spellEnd"/>
            <w:r>
              <w:rPr>
                <w:rFonts w:ascii="Times New Roman" w:hAnsi="Times New Roman"/>
              </w:rPr>
              <w:t xml:space="preserve"> du groupe, ancien directeur de cabinet du CEMM</w:t>
            </w:r>
          </w:p>
          <w:p w:rsidR="008748C6" w:rsidRPr="008748C6" w:rsidRDefault="008748C6" w:rsidP="003F1366">
            <w:r>
              <w:rPr>
                <w:rFonts w:ascii="Times New Roman" w:hAnsi="Times New Roman"/>
              </w:rPr>
              <w:t xml:space="preserve">Le CV Didier Ramond, sous-marinier qui a </w:t>
            </w:r>
            <w:r w:rsidR="002C1944">
              <w:rPr>
                <w:rFonts w:ascii="Times New Roman" w:hAnsi="Times New Roman"/>
              </w:rPr>
              <w:t xml:space="preserve">également servi </w:t>
            </w:r>
            <w:r>
              <w:rPr>
                <w:rFonts w:ascii="Times New Roman" w:hAnsi="Times New Roman"/>
              </w:rPr>
              <w:t>outre mer puis à la DGA</w:t>
            </w:r>
          </w:p>
        </w:tc>
        <w:tc>
          <w:tcPr>
            <w:tcW w:w="5594" w:type="dxa"/>
            <w:gridSpan w:val="3"/>
          </w:tcPr>
          <w:p w:rsidR="008748C6" w:rsidRDefault="00661183" w:rsidP="003F1366">
            <w:r>
              <w:rPr>
                <w:noProof/>
                <w:lang w:eastAsia="fr-FR"/>
              </w:rPr>
              <w:drawing>
                <wp:inline distT="0" distB="0" distL="0" distR="0">
                  <wp:extent cx="3624689" cy="4783424"/>
                  <wp:effectExtent l="19050" t="0" r="0" b="0"/>
                  <wp:docPr id="1" name="Image 1" descr="C:\Users\Jehan\Desktop\TOME 5\Tome 5 imprimerie\MAQUETTE têtes de chapitre\Couverture Mac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an\Desktop\TOME 5\Tome 5 imprimerie\MAQUETTE têtes de chapitre\Couverture Macary.jpg"/>
                          <pic:cNvPicPr>
                            <a:picLocks noChangeAspect="1" noChangeArrowheads="1"/>
                          </pic:cNvPicPr>
                        </pic:nvPicPr>
                        <pic:blipFill>
                          <a:blip r:embed="rId10" cstate="print"/>
                          <a:srcRect/>
                          <a:stretch>
                            <a:fillRect/>
                          </a:stretch>
                        </pic:blipFill>
                        <pic:spPr bwMode="auto">
                          <a:xfrm>
                            <a:off x="0" y="0"/>
                            <a:ext cx="3628239" cy="4788109"/>
                          </a:xfrm>
                          <a:prstGeom prst="rect">
                            <a:avLst/>
                          </a:prstGeom>
                          <a:noFill/>
                          <a:ln w="9525">
                            <a:noFill/>
                            <a:miter lim="800000"/>
                            <a:headEnd/>
                            <a:tailEnd/>
                          </a:ln>
                        </pic:spPr>
                      </pic:pic>
                    </a:graphicData>
                  </a:graphic>
                </wp:inline>
              </w:drawing>
            </w:r>
          </w:p>
        </w:tc>
        <w:tc>
          <w:tcPr>
            <w:tcW w:w="5008" w:type="dxa"/>
            <w:gridSpan w:val="2"/>
            <w:vMerge w:val="restart"/>
          </w:tcPr>
          <w:p w:rsidR="008748C6" w:rsidRDefault="008748C6" w:rsidP="003F1366">
            <w:pPr>
              <w:ind w:left="284"/>
              <w:jc w:val="both"/>
              <w:rPr>
                <w:rFonts w:ascii="Times New Roman" w:hAnsi="Times New Roman"/>
                <w:i/>
              </w:rPr>
            </w:pPr>
          </w:p>
          <w:p w:rsidR="008748C6" w:rsidRDefault="008748C6" w:rsidP="003F1366">
            <w:pPr>
              <w:ind w:left="284"/>
              <w:jc w:val="both"/>
              <w:rPr>
                <w:rFonts w:ascii="Times New Roman" w:hAnsi="Times New Roman"/>
                <w:i/>
              </w:rPr>
            </w:pPr>
          </w:p>
          <w:p w:rsidR="008748C6" w:rsidRDefault="008748C6" w:rsidP="003F1366">
            <w:pPr>
              <w:ind w:left="284"/>
              <w:jc w:val="both"/>
              <w:rPr>
                <w:rFonts w:ascii="Times New Roman" w:hAnsi="Times New Roman"/>
                <w:i/>
              </w:rPr>
            </w:pPr>
          </w:p>
          <w:p w:rsidR="008748C6" w:rsidRPr="00571950" w:rsidRDefault="008748C6" w:rsidP="003F1366">
            <w:pPr>
              <w:ind w:left="284"/>
              <w:jc w:val="both"/>
              <w:rPr>
                <w:rFonts w:ascii="Times New Roman" w:hAnsi="Times New Roman"/>
                <w:i/>
              </w:rPr>
            </w:pPr>
            <w:r w:rsidRPr="00571950">
              <w:rPr>
                <w:rFonts w:ascii="Times New Roman" w:hAnsi="Times New Roman"/>
                <w:i/>
              </w:rPr>
              <w:t xml:space="preserve">Le bilan chiffré des archives réunies pour la réalisation de l’Encyclopédie des </w:t>
            </w:r>
            <w:proofErr w:type="spellStart"/>
            <w:r w:rsidRPr="00571950">
              <w:rPr>
                <w:rFonts w:ascii="Times New Roman" w:hAnsi="Times New Roman"/>
                <w:i/>
              </w:rPr>
              <w:t>Sous-Marins</w:t>
            </w:r>
            <w:proofErr w:type="spellEnd"/>
            <w:r w:rsidRPr="00571950">
              <w:rPr>
                <w:rFonts w:ascii="Times New Roman" w:hAnsi="Times New Roman"/>
                <w:i/>
              </w:rPr>
              <w:t xml:space="preserve"> Français, compte non tenu de celles exploitées par les industriels y ayant contribué, </w:t>
            </w:r>
            <w:r>
              <w:rPr>
                <w:rFonts w:ascii="Times New Roman" w:hAnsi="Times New Roman"/>
                <w:i/>
              </w:rPr>
              <w:t xml:space="preserve">de l’élaboration du tome 1 à </w:t>
            </w:r>
            <w:r w:rsidRPr="00571950">
              <w:rPr>
                <w:rFonts w:ascii="Times New Roman" w:hAnsi="Times New Roman"/>
                <w:i/>
              </w:rPr>
              <w:t xml:space="preserve"> l’impression du tome 5, traduit combien les auteurs ont eu à cœur de réaliser un ouvrage aussi parfaitement documenté que possible :</w:t>
            </w:r>
          </w:p>
          <w:p w:rsidR="008748C6" w:rsidRPr="00571950" w:rsidRDefault="008748C6" w:rsidP="003F1366">
            <w:pPr>
              <w:ind w:left="284"/>
              <w:jc w:val="both"/>
              <w:rPr>
                <w:rFonts w:ascii="Times New Roman" w:hAnsi="Times New Roman"/>
                <w:i/>
              </w:rPr>
            </w:pPr>
            <w:r>
              <w:rPr>
                <w:rFonts w:ascii="Times New Roman" w:hAnsi="Times New Roman"/>
                <w:i/>
              </w:rPr>
              <w:t>-  </w:t>
            </w:r>
            <w:r w:rsidRPr="00571950">
              <w:rPr>
                <w:rFonts w:ascii="Times New Roman" w:hAnsi="Times New Roman"/>
                <w:i/>
              </w:rPr>
              <w:t>Plus de 40.000 pages extraites des archives du Service Historique la Défe</w:t>
            </w:r>
            <w:r>
              <w:rPr>
                <w:rFonts w:ascii="Times New Roman" w:hAnsi="Times New Roman"/>
                <w:i/>
              </w:rPr>
              <w:t xml:space="preserve">nse (SHD), soit environ 200.000 </w:t>
            </w:r>
            <w:r w:rsidRPr="00571950">
              <w:rPr>
                <w:rFonts w:ascii="Times New Roman" w:hAnsi="Times New Roman"/>
                <w:i/>
              </w:rPr>
              <w:t>pages consultées pour n</w:t>
            </w:r>
            <w:r>
              <w:rPr>
                <w:rFonts w:ascii="Times New Roman" w:hAnsi="Times New Roman"/>
                <w:i/>
              </w:rPr>
              <w:t>’en</w:t>
            </w:r>
            <w:r w:rsidRPr="00571950">
              <w:rPr>
                <w:rFonts w:ascii="Times New Roman" w:hAnsi="Times New Roman"/>
                <w:i/>
              </w:rPr>
              <w:t xml:space="preserve"> sélectionner que les plus significatives ;</w:t>
            </w:r>
          </w:p>
          <w:p w:rsidR="008748C6" w:rsidRPr="00571950" w:rsidRDefault="008748C6" w:rsidP="003F1366">
            <w:pPr>
              <w:ind w:left="284"/>
              <w:jc w:val="both"/>
              <w:rPr>
                <w:rFonts w:ascii="Times New Roman" w:hAnsi="Times New Roman"/>
                <w:i/>
              </w:rPr>
            </w:pPr>
            <w:r w:rsidRPr="00571950">
              <w:rPr>
                <w:rFonts w:ascii="Times New Roman" w:hAnsi="Times New Roman"/>
                <w:i/>
              </w:rPr>
              <w:t>-  9 CD / DVD de dossiers, conférences, présentations techniques ou opérationne</w:t>
            </w:r>
            <w:r>
              <w:rPr>
                <w:rFonts w:ascii="Times New Roman" w:hAnsi="Times New Roman"/>
                <w:i/>
              </w:rPr>
              <w:t xml:space="preserve">lles, provenant d’Alfost     et des </w:t>
            </w:r>
            <w:r w:rsidRPr="00571950">
              <w:rPr>
                <w:rFonts w:ascii="Times New Roman" w:hAnsi="Times New Roman"/>
                <w:i/>
              </w:rPr>
              <w:t>industriels,</w:t>
            </w:r>
          </w:p>
          <w:p w:rsidR="008748C6" w:rsidRPr="00571950" w:rsidRDefault="008748C6" w:rsidP="003F1366">
            <w:pPr>
              <w:ind w:left="284"/>
              <w:jc w:val="both"/>
              <w:rPr>
                <w:rFonts w:ascii="Times New Roman" w:hAnsi="Times New Roman"/>
                <w:i/>
              </w:rPr>
            </w:pPr>
            <w:r w:rsidRPr="00571950">
              <w:rPr>
                <w:rFonts w:ascii="Times New Roman" w:hAnsi="Times New Roman"/>
                <w:i/>
              </w:rPr>
              <w:t>- 14 CD / DVD de photos numérisées provenant pour l’essentiel d’Alfost et des escadrilles de sous-marins ;</w:t>
            </w:r>
          </w:p>
          <w:p w:rsidR="008748C6" w:rsidRPr="00571950" w:rsidRDefault="008748C6" w:rsidP="003F1366">
            <w:pPr>
              <w:ind w:left="284"/>
              <w:jc w:val="both"/>
              <w:rPr>
                <w:rFonts w:ascii="Times New Roman" w:hAnsi="Times New Roman"/>
                <w:i/>
              </w:rPr>
            </w:pPr>
            <w:r w:rsidRPr="00571950">
              <w:rPr>
                <w:rFonts w:ascii="Times New Roman" w:hAnsi="Times New Roman"/>
                <w:i/>
              </w:rPr>
              <w:t>- 5 CD « archives orales » d’interviews d’amiraux par le SHD ;</w:t>
            </w:r>
          </w:p>
          <w:p w:rsidR="008748C6" w:rsidRPr="00571950" w:rsidRDefault="008748C6" w:rsidP="003F1366">
            <w:pPr>
              <w:ind w:left="284"/>
              <w:jc w:val="both"/>
              <w:rPr>
                <w:rFonts w:ascii="Times New Roman" w:hAnsi="Times New Roman"/>
                <w:i/>
              </w:rPr>
            </w:pPr>
            <w:r w:rsidRPr="00571950">
              <w:rPr>
                <w:rFonts w:ascii="Times New Roman" w:hAnsi="Times New Roman"/>
                <w:i/>
              </w:rPr>
              <w:t xml:space="preserve">- Et enfin les archives de l’Association Générale des Amicales de </w:t>
            </w:r>
            <w:proofErr w:type="spellStart"/>
            <w:r w:rsidRPr="00571950">
              <w:rPr>
                <w:rFonts w:ascii="Times New Roman" w:hAnsi="Times New Roman"/>
                <w:i/>
              </w:rPr>
              <w:t>Sous-M</w:t>
            </w:r>
            <w:r>
              <w:rPr>
                <w:rFonts w:ascii="Times New Roman" w:hAnsi="Times New Roman"/>
                <w:i/>
              </w:rPr>
              <w:t>ariniers</w:t>
            </w:r>
            <w:proofErr w:type="spellEnd"/>
            <w:r>
              <w:rPr>
                <w:rFonts w:ascii="Times New Roman" w:hAnsi="Times New Roman"/>
                <w:i/>
              </w:rPr>
              <w:t xml:space="preserve"> (AGASM) soit 15 mètres </w:t>
            </w:r>
            <w:r w:rsidRPr="00571950">
              <w:rPr>
                <w:rFonts w:ascii="Times New Roman" w:hAnsi="Times New Roman"/>
                <w:i/>
              </w:rPr>
              <w:t>linéaires d’ouvrages techniques et historiques (livres, notices, revues …) portant</w:t>
            </w:r>
            <w:r>
              <w:rPr>
                <w:rFonts w:ascii="Times New Roman" w:hAnsi="Times New Roman"/>
                <w:i/>
              </w:rPr>
              <w:t xml:space="preserve"> sur les sous-marins, de la fin </w:t>
            </w:r>
            <w:r w:rsidRPr="00571950">
              <w:rPr>
                <w:rFonts w:ascii="Times New Roman" w:hAnsi="Times New Roman"/>
                <w:i/>
              </w:rPr>
              <w:t>du XIXème siècle à nos jours, et sa collection de photographies mise à disposition par ses adhérents.</w:t>
            </w:r>
          </w:p>
          <w:p w:rsidR="008748C6" w:rsidRDefault="008748C6" w:rsidP="003F1366"/>
        </w:tc>
      </w:tr>
      <w:tr w:rsidR="003F1366" w:rsidTr="00CD5A44">
        <w:trPr>
          <w:gridBefore w:val="1"/>
          <w:gridAfter w:val="1"/>
          <w:wBefore w:w="27" w:type="dxa"/>
          <w:wAfter w:w="22" w:type="dxa"/>
        </w:trPr>
        <w:tc>
          <w:tcPr>
            <w:tcW w:w="5269" w:type="dxa"/>
            <w:gridSpan w:val="2"/>
            <w:vMerge/>
          </w:tcPr>
          <w:p w:rsidR="003F1366" w:rsidRDefault="003F1366" w:rsidP="003F1366"/>
        </w:tc>
        <w:tc>
          <w:tcPr>
            <w:tcW w:w="5594" w:type="dxa"/>
            <w:gridSpan w:val="3"/>
          </w:tcPr>
          <w:p w:rsidR="003F1366" w:rsidRDefault="003F1366" w:rsidP="003F1366">
            <w:pPr>
              <w:rPr>
                <w:noProof/>
                <w:lang w:eastAsia="fr-FR"/>
              </w:rPr>
            </w:pPr>
          </w:p>
        </w:tc>
        <w:tc>
          <w:tcPr>
            <w:tcW w:w="5008" w:type="dxa"/>
            <w:gridSpan w:val="2"/>
            <w:vMerge/>
          </w:tcPr>
          <w:p w:rsidR="003F1366" w:rsidRDefault="003F1366" w:rsidP="003F1366">
            <w:pPr>
              <w:ind w:left="284"/>
              <w:jc w:val="both"/>
              <w:rPr>
                <w:rFonts w:ascii="Times New Roman" w:hAnsi="Times New Roman"/>
                <w:i/>
              </w:rPr>
            </w:pPr>
          </w:p>
        </w:tc>
      </w:tr>
      <w:tr w:rsidR="008748C6" w:rsidTr="00CD5A44">
        <w:trPr>
          <w:gridBefore w:val="1"/>
          <w:gridAfter w:val="1"/>
          <w:wBefore w:w="27" w:type="dxa"/>
          <w:wAfter w:w="22" w:type="dxa"/>
        </w:trPr>
        <w:tc>
          <w:tcPr>
            <w:tcW w:w="5269" w:type="dxa"/>
            <w:gridSpan w:val="2"/>
            <w:vMerge/>
          </w:tcPr>
          <w:p w:rsidR="008748C6" w:rsidRDefault="008748C6" w:rsidP="003F1366"/>
        </w:tc>
        <w:tc>
          <w:tcPr>
            <w:tcW w:w="5594" w:type="dxa"/>
            <w:gridSpan w:val="3"/>
          </w:tcPr>
          <w:p w:rsidR="008748C6" w:rsidRDefault="008748C6" w:rsidP="003F1366">
            <w:pPr>
              <w:jc w:val="center"/>
              <w:rPr>
                <w:noProof/>
                <w:lang w:eastAsia="fr-FR"/>
              </w:rPr>
            </w:pPr>
          </w:p>
          <w:p w:rsidR="008748C6" w:rsidRPr="003F1366" w:rsidRDefault="008748C6" w:rsidP="003F1366">
            <w:pPr>
              <w:jc w:val="center"/>
              <w:rPr>
                <w:b/>
                <w:noProof/>
                <w:lang w:eastAsia="fr-FR"/>
              </w:rPr>
            </w:pPr>
            <w:r w:rsidRPr="003F1366">
              <w:rPr>
                <w:b/>
                <w:noProof/>
                <w:lang w:eastAsia="fr-FR"/>
              </w:rPr>
              <w:t>Tome 5</w:t>
            </w:r>
          </w:p>
          <w:p w:rsidR="008748C6" w:rsidRPr="003F1366" w:rsidRDefault="008748C6" w:rsidP="003F1366">
            <w:pPr>
              <w:jc w:val="center"/>
              <w:rPr>
                <w:b/>
                <w:noProof/>
                <w:lang w:eastAsia="fr-FR"/>
              </w:rPr>
            </w:pPr>
            <w:r w:rsidRPr="003F1366">
              <w:rPr>
                <w:b/>
                <w:noProof/>
                <w:lang w:eastAsia="fr-FR"/>
              </w:rPr>
              <w:t>Les combattants silencieux d’un nouvel ordre stratégique</w:t>
            </w:r>
          </w:p>
          <w:p w:rsidR="008748C6" w:rsidRDefault="008748C6" w:rsidP="003F1366">
            <w:pPr>
              <w:jc w:val="center"/>
              <w:rPr>
                <w:noProof/>
                <w:lang w:eastAsia="fr-FR"/>
              </w:rPr>
            </w:pPr>
            <w:r w:rsidRPr="003F1366">
              <w:rPr>
                <w:b/>
                <w:noProof/>
                <w:lang w:eastAsia="fr-FR"/>
              </w:rPr>
              <w:t>1989 - 2022</w:t>
            </w:r>
          </w:p>
        </w:tc>
        <w:tc>
          <w:tcPr>
            <w:tcW w:w="5008" w:type="dxa"/>
            <w:gridSpan w:val="2"/>
            <w:vMerge/>
          </w:tcPr>
          <w:p w:rsidR="008748C6" w:rsidRDefault="008748C6" w:rsidP="003F1366"/>
        </w:tc>
      </w:tr>
    </w:tbl>
    <w:p w:rsidR="008748C6" w:rsidRDefault="008748C6" w:rsidP="003F1366"/>
    <w:p w:rsidR="003F1366" w:rsidRDefault="003F1366" w:rsidP="003F1366">
      <w:pPr>
        <w:spacing w:after="0" w:line="240" w:lineRule="auto"/>
        <w:ind w:left="993"/>
        <w:rPr>
          <w:rFonts w:ascii="Times New Roman" w:eastAsia="Times New Roman" w:hAnsi="Times New Roman"/>
          <w:b/>
          <w:lang w:eastAsia="fr-FR"/>
        </w:rPr>
      </w:pPr>
    </w:p>
    <w:p w:rsidR="00C165A5" w:rsidRPr="007A514A" w:rsidRDefault="00C165A5" w:rsidP="00C165A5">
      <w:pPr>
        <w:spacing w:after="0"/>
        <w:jc w:val="center"/>
        <w:rPr>
          <w:b/>
        </w:rPr>
      </w:pPr>
      <w:r w:rsidRPr="007A514A">
        <w:rPr>
          <w:b/>
        </w:rPr>
        <w:lastRenderedPageBreak/>
        <w:t>« </w:t>
      </w:r>
      <w:r w:rsidR="00A962CC">
        <w:rPr>
          <w:b/>
          <w:sz w:val="28"/>
          <w:szCs w:val="28"/>
        </w:rPr>
        <w:t>D</w:t>
      </w:r>
      <w:r w:rsidRPr="006B520A">
        <w:rPr>
          <w:b/>
          <w:sz w:val="28"/>
          <w:szCs w:val="28"/>
        </w:rPr>
        <w:t>u Triomphant au Suffre</w:t>
      </w:r>
      <w:r w:rsidRPr="007A514A">
        <w:rPr>
          <w:b/>
        </w:rPr>
        <w:t>n »</w:t>
      </w:r>
    </w:p>
    <w:p w:rsidR="00C165A5" w:rsidRPr="007A514A" w:rsidRDefault="00A962CC" w:rsidP="00C165A5">
      <w:pPr>
        <w:spacing w:after="0"/>
        <w:jc w:val="center"/>
        <w:rPr>
          <w:b/>
        </w:rPr>
      </w:pPr>
      <w:r>
        <w:rPr>
          <w:b/>
        </w:rPr>
        <w:t>« L</w:t>
      </w:r>
      <w:r w:rsidR="00C165A5" w:rsidRPr="007A514A">
        <w:rPr>
          <w:b/>
        </w:rPr>
        <w:t>es guerriers silencieux d’un nouvel ordre stratégique</w:t>
      </w:r>
      <w:r w:rsidR="00C165A5">
        <w:rPr>
          <w:b/>
        </w:rPr>
        <w:t> »</w:t>
      </w:r>
    </w:p>
    <w:p w:rsidR="00C165A5" w:rsidRDefault="00C165A5" w:rsidP="00C165A5">
      <w:pPr>
        <w:spacing w:after="0"/>
        <w:jc w:val="both"/>
      </w:pPr>
      <w:r>
        <w:t>Cet ouvrage traite de la période actuelle, avec les deux derniers types de sous-marins nucléaires français, dans un environnement stratégique dangereux et imprévisible.</w:t>
      </w:r>
    </w:p>
    <w:p w:rsidR="00C165A5" w:rsidRDefault="002C1944" w:rsidP="00C165A5">
      <w:pPr>
        <w:spacing w:after="0"/>
        <w:jc w:val="both"/>
      </w:pPr>
      <w:r>
        <w:t>Avec une large contribution des</w:t>
      </w:r>
      <w:r w:rsidR="00C165A5">
        <w:t xml:space="preserve"> ingénieurs et officiers en charge de la genèse, de la construction puis de la mise en œuvre de ces bâtiments puissants et complexes, tous spécialistes des sujets traités, il comporte les multiples aspects des problèmes à r</w:t>
      </w:r>
      <w:r>
        <w:t>ésoudre  mis en perspective dans</w:t>
      </w:r>
      <w:r w:rsidR="00C165A5">
        <w:t xml:space="preserve"> le contexte international des années en question.</w:t>
      </w:r>
    </w:p>
    <w:p w:rsidR="00C165A5" w:rsidRDefault="00C165A5" w:rsidP="00C165A5">
      <w:pPr>
        <w:spacing w:after="0"/>
        <w:jc w:val="center"/>
      </w:pPr>
      <w:r>
        <w:t>Il traite ainsi de :</w:t>
      </w:r>
    </w:p>
    <w:p w:rsidR="00C165A5" w:rsidRDefault="00C165A5" w:rsidP="00C165A5">
      <w:pPr>
        <w:pStyle w:val="Paragraphedeliste"/>
        <w:numPr>
          <w:ilvl w:val="0"/>
          <w:numId w:val="1"/>
        </w:numPr>
        <w:spacing w:after="0"/>
        <w:jc w:val="both"/>
      </w:pPr>
      <w:r>
        <w:t xml:space="preserve">La complexité des chantiers </w:t>
      </w:r>
      <w:r w:rsidR="002C1944">
        <w:t>réalisés</w:t>
      </w:r>
      <w:r>
        <w:t xml:space="preserve"> pour la construction et l’entretien des ces SM</w:t>
      </w:r>
    </w:p>
    <w:p w:rsidR="00C165A5" w:rsidRDefault="00C165A5" w:rsidP="00C165A5">
      <w:pPr>
        <w:pStyle w:val="Paragraphedeliste"/>
        <w:numPr>
          <w:ilvl w:val="0"/>
          <w:numId w:val="1"/>
        </w:numPr>
        <w:spacing w:after="0"/>
        <w:jc w:val="both"/>
      </w:pPr>
      <w:r>
        <w:t xml:space="preserve">La genèse et la réalisation du programme SNLE nouvelle génération, avec la construction du </w:t>
      </w:r>
      <w:r w:rsidRPr="002C1944">
        <w:rPr>
          <w:i/>
        </w:rPr>
        <w:t>Triomphant.</w:t>
      </w:r>
    </w:p>
    <w:p w:rsidR="00C165A5" w:rsidRDefault="00C165A5" w:rsidP="00C165A5">
      <w:pPr>
        <w:pStyle w:val="Paragraphedeliste"/>
        <w:numPr>
          <w:ilvl w:val="0"/>
          <w:numId w:val="1"/>
        </w:numPr>
        <w:spacing w:after="0"/>
        <w:jc w:val="both"/>
      </w:pPr>
      <w:r>
        <w:t xml:space="preserve">La refonte des SNA type Améthyste, le programme des SNA type Barracuda, la construction et les essais du </w:t>
      </w:r>
      <w:r w:rsidRPr="002C1944">
        <w:rPr>
          <w:i/>
        </w:rPr>
        <w:t>Suffren</w:t>
      </w:r>
      <w:r>
        <w:t>.</w:t>
      </w:r>
    </w:p>
    <w:p w:rsidR="00C165A5" w:rsidRDefault="00C165A5" w:rsidP="00C165A5">
      <w:pPr>
        <w:pStyle w:val="Paragraphedeliste"/>
        <w:numPr>
          <w:ilvl w:val="0"/>
          <w:numId w:val="1"/>
        </w:numPr>
        <w:spacing w:after="0"/>
        <w:jc w:val="both"/>
      </w:pPr>
      <w:r>
        <w:t>Les opérations stratégiques et tactiques des SNLE et des SNA</w:t>
      </w:r>
    </w:p>
    <w:p w:rsidR="00C165A5" w:rsidRDefault="00C165A5" w:rsidP="00C165A5">
      <w:pPr>
        <w:pStyle w:val="Paragraphedeliste"/>
        <w:numPr>
          <w:ilvl w:val="0"/>
          <w:numId w:val="1"/>
        </w:numPr>
        <w:spacing w:after="0"/>
        <w:jc w:val="both"/>
      </w:pPr>
      <w:r>
        <w:t>L’organisation du soutien, de la formation, de l’entrainement des équipages.</w:t>
      </w:r>
    </w:p>
    <w:p w:rsidR="00C165A5" w:rsidRDefault="00C165A5" w:rsidP="00C165A5">
      <w:pPr>
        <w:spacing w:after="0"/>
        <w:jc w:val="center"/>
      </w:pPr>
      <w:r>
        <w:t>On y trouve en outre quatre sujets connexes :</w:t>
      </w:r>
    </w:p>
    <w:p w:rsidR="00C165A5" w:rsidRDefault="00C165A5" w:rsidP="00C165A5">
      <w:pPr>
        <w:pStyle w:val="Paragraphedeliste"/>
        <w:numPr>
          <w:ilvl w:val="0"/>
          <w:numId w:val="1"/>
        </w:numPr>
        <w:spacing w:after="0"/>
        <w:jc w:val="both"/>
      </w:pPr>
      <w:r>
        <w:t>Intervention sous les mers et sauvetage des sous-marins en détresse</w:t>
      </w:r>
    </w:p>
    <w:p w:rsidR="00C165A5" w:rsidRDefault="00C165A5" w:rsidP="00C165A5">
      <w:pPr>
        <w:pStyle w:val="Paragraphedeliste"/>
        <w:numPr>
          <w:ilvl w:val="0"/>
          <w:numId w:val="1"/>
        </w:numPr>
        <w:spacing w:after="0"/>
        <w:jc w:val="both"/>
      </w:pPr>
      <w:r>
        <w:t>Les sous-marins exportés et les projets futuristes</w:t>
      </w:r>
    </w:p>
    <w:p w:rsidR="00C165A5" w:rsidRDefault="00C165A5" w:rsidP="00C165A5">
      <w:pPr>
        <w:pStyle w:val="Paragraphedeliste"/>
        <w:numPr>
          <w:ilvl w:val="0"/>
          <w:numId w:val="1"/>
        </w:numPr>
        <w:spacing w:after="0"/>
        <w:jc w:val="both"/>
      </w:pPr>
      <w:r>
        <w:t>Témoignages du tournage du film « le chant du loup »</w:t>
      </w:r>
    </w:p>
    <w:p w:rsidR="00C165A5" w:rsidRDefault="00C165A5" w:rsidP="00C165A5">
      <w:pPr>
        <w:pStyle w:val="Paragraphedeliste"/>
        <w:numPr>
          <w:ilvl w:val="0"/>
          <w:numId w:val="1"/>
        </w:numPr>
        <w:spacing w:after="0"/>
        <w:jc w:val="both"/>
      </w:pPr>
      <w:r>
        <w:t>Les sous-marins « musée »</w:t>
      </w:r>
    </w:p>
    <w:p w:rsidR="003F1366" w:rsidRPr="004539D5" w:rsidRDefault="003F1366" w:rsidP="003F1366">
      <w:pPr>
        <w:spacing w:after="0" w:line="240" w:lineRule="auto"/>
        <w:ind w:left="993"/>
        <w:jc w:val="center"/>
        <w:rPr>
          <w:rFonts w:ascii="Times New Roman" w:eastAsia="Times New Roman" w:hAnsi="Times New Roman"/>
          <w:b/>
          <w:lang w:eastAsia="fr-FR"/>
        </w:rPr>
      </w:pPr>
      <w:r w:rsidRPr="004539D5">
        <w:rPr>
          <w:rFonts w:ascii="Times New Roman" w:eastAsia="Times New Roman" w:hAnsi="Times New Roman"/>
          <w:b/>
          <w:lang w:eastAsia="fr-FR"/>
        </w:rPr>
        <w:t xml:space="preserve">Les institutions et les entreprises qui ont été </w:t>
      </w:r>
      <w:r w:rsidR="00B36717">
        <w:rPr>
          <w:rFonts w:ascii="Times New Roman" w:eastAsia="Times New Roman" w:hAnsi="Times New Roman"/>
          <w:b/>
          <w:lang w:eastAsia="fr-FR"/>
        </w:rPr>
        <w:t xml:space="preserve">depuis le début </w:t>
      </w:r>
      <w:r w:rsidRPr="004539D5">
        <w:rPr>
          <w:rFonts w:ascii="Times New Roman" w:eastAsia="Times New Roman" w:hAnsi="Times New Roman"/>
          <w:b/>
          <w:lang w:eastAsia="fr-FR"/>
        </w:rPr>
        <w:t>nos partenaires et en particulier :</w:t>
      </w:r>
    </w:p>
    <w:p w:rsidR="003F1366" w:rsidRPr="004539D5" w:rsidRDefault="003F1366" w:rsidP="003F1366">
      <w:pPr>
        <w:spacing w:after="0" w:line="240" w:lineRule="auto"/>
        <w:ind w:left="993"/>
        <w:rPr>
          <w:rFonts w:ascii="Times New Roman" w:eastAsia="Times New Roman" w:hAnsi="Times New Roman"/>
          <w:b/>
          <w:lang w:eastAsia="fr-FR"/>
        </w:rPr>
      </w:pPr>
    </w:p>
    <w:p w:rsidR="003F1366" w:rsidRPr="004539D5" w:rsidRDefault="003F1366" w:rsidP="003F1366">
      <w:pPr>
        <w:shd w:val="clear" w:color="auto" w:fill="FFFFFF"/>
        <w:spacing w:after="0" w:line="240" w:lineRule="auto"/>
        <w:ind w:left="993"/>
        <w:rPr>
          <w:rFonts w:ascii="Times New Roman" w:eastAsia="Times New Roman" w:hAnsi="Times New Roman"/>
          <w:color w:val="000000"/>
          <w:shd w:val="clear" w:color="auto" w:fill="FFFFFF"/>
          <w:lang w:eastAsia="fr-FR"/>
        </w:rPr>
      </w:pPr>
      <w:r w:rsidRPr="004539D5">
        <w:rPr>
          <w:rFonts w:ascii="Times New Roman" w:eastAsia="Times New Roman" w:hAnsi="Times New Roman"/>
          <w:color w:val="000000"/>
          <w:shd w:val="clear" w:color="auto" w:fill="FFFFFF"/>
          <w:lang w:eastAsia="fr-FR"/>
        </w:rPr>
        <w:t>La Direction des Patrimoines, de la Mémoire et des Archives du Secrétariat Général pour l’Administration</w:t>
      </w:r>
    </w:p>
    <w:p w:rsidR="003F1366" w:rsidRPr="004539D5" w:rsidRDefault="003F1366" w:rsidP="003F1366">
      <w:pPr>
        <w:shd w:val="clear" w:color="auto" w:fill="FFFFFF"/>
        <w:spacing w:after="0" w:line="240" w:lineRule="auto"/>
        <w:ind w:left="993"/>
        <w:rPr>
          <w:rFonts w:ascii="Times New Roman" w:eastAsia="Times New Roman" w:hAnsi="Times New Roman"/>
          <w:color w:val="000000"/>
          <w:lang w:eastAsia="fr-FR"/>
        </w:rPr>
      </w:pPr>
      <w:r w:rsidRPr="004539D5">
        <w:rPr>
          <w:rFonts w:ascii="Times New Roman" w:eastAsia="Times New Roman" w:hAnsi="Times New Roman"/>
          <w:color w:val="000000"/>
          <w:lang w:eastAsia="fr-FR"/>
        </w:rPr>
        <w:t xml:space="preserve">L’association internationale de dirigeants « Young </w:t>
      </w:r>
      <w:proofErr w:type="spellStart"/>
      <w:r w:rsidRPr="004539D5">
        <w:rPr>
          <w:rFonts w:ascii="Times New Roman" w:eastAsia="Times New Roman" w:hAnsi="Times New Roman"/>
          <w:color w:val="000000"/>
          <w:lang w:eastAsia="fr-FR"/>
        </w:rPr>
        <w:t>Presidents</w:t>
      </w:r>
      <w:proofErr w:type="spellEnd"/>
      <w:r w:rsidRPr="004539D5">
        <w:rPr>
          <w:rFonts w:ascii="Times New Roman" w:eastAsia="Times New Roman" w:hAnsi="Times New Roman"/>
          <w:color w:val="000000"/>
          <w:lang w:eastAsia="fr-FR"/>
        </w:rPr>
        <w:t xml:space="preserve"> Organisation » (</w:t>
      </w:r>
      <w:hyperlink r:id="rId11" w:tgtFrame="_blank" w:history="1">
        <w:r w:rsidRPr="004539D5">
          <w:rPr>
            <w:rStyle w:val="Lienhypertexte"/>
            <w:rFonts w:ascii="Times New Roman" w:eastAsia="Times New Roman" w:hAnsi="Times New Roman"/>
            <w:color w:val="444444"/>
            <w:lang w:eastAsia="fr-FR"/>
          </w:rPr>
          <w:t>www.YPO.org</w:t>
        </w:r>
      </w:hyperlink>
      <w:r w:rsidRPr="004539D5">
        <w:rPr>
          <w:rFonts w:ascii="Times New Roman" w:eastAsia="Times New Roman" w:hAnsi="Times New Roman"/>
          <w:color w:val="000000"/>
          <w:lang w:eastAsia="fr-FR"/>
        </w:rPr>
        <w:t>) au travers de son Chapitre Français</w:t>
      </w:r>
    </w:p>
    <w:p w:rsidR="003F1366" w:rsidRPr="004539D5" w:rsidRDefault="003F1366" w:rsidP="003F1366">
      <w:pPr>
        <w:shd w:val="clear" w:color="auto" w:fill="FFFFFF"/>
        <w:spacing w:after="0" w:line="240" w:lineRule="auto"/>
        <w:ind w:left="993"/>
        <w:rPr>
          <w:rFonts w:ascii="Times New Roman" w:eastAsia="Times New Roman" w:hAnsi="Times New Roman"/>
          <w:color w:val="000000"/>
          <w:shd w:val="clear" w:color="auto" w:fill="FFFFFF"/>
          <w:lang w:eastAsia="fr-FR"/>
        </w:rPr>
      </w:pPr>
      <w:r w:rsidRPr="004539D5">
        <w:rPr>
          <w:rFonts w:ascii="Times New Roman" w:eastAsia="Times New Roman" w:hAnsi="Times New Roman"/>
          <w:color w:val="000000"/>
          <w:lang w:eastAsia="fr-FR"/>
        </w:rPr>
        <w:t xml:space="preserve">Le groupe </w:t>
      </w:r>
      <w:proofErr w:type="gramStart"/>
      <w:r w:rsidRPr="004539D5">
        <w:rPr>
          <w:rFonts w:ascii="Times New Roman" w:eastAsia="Times New Roman" w:hAnsi="Times New Roman"/>
          <w:color w:val="000000"/>
          <w:lang w:eastAsia="fr-FR"/>
        </w:rPr>
        <w:t xml:space="preserve">SPI </w:t>
      </w:r>
      <w:r w:rsidR="00C165A5">
        <w:rPr>
          <w:rFonts w:ascii="Times New Roman" w:eastAsia="Times New Roman" w:hAnsi="Times New Roman"/>
          <w:color w:val="000000"/>
          <w:lang w:eastAsia="fr-FR"/>
        </w:rPr>
        <w:t>,</w:t>
      </w:r>
      <w:proofErr w:type="gramEnd"/>
      <w:r w:rsidR="00C165A5">
        <w:rPr>
          <w:rFonts w:ascii="Times New Roman" w:eastAsia="Times New Roman" w:hAnsi="Times New Roman"/>
          <w:color w:val="000000"/>
          <w:lang w:eastAsia="fr-FR"/>
        </w:rPr>
        <w:t xml:space="preserve"> </w:t>
      </w:r>
      <w:r w:rsidRPr="004539D5">
        <w:rPr>
          <w:rFonts w:ascii="Times New Roman" w:eastAsia="Times New Roman" w:hAnsi="Times New Roman"/>
          <w:color w:val="000000"/>
          <w:lang w:eastAsia="fr-FR"/>
        </w:rPr>
        <w:t>SATIF groupe Scutum</w:t>
      </w:r>
      <w:r w:rsidR="00C165A5">
        <w:rPr>
          <w:rFonts w:ascii="Times New Roman" w:eastAsia="Times New Roman" w:hAnsi="Times New Roman"/>
          <w:color w:val="000000"/>
          <w:lang w:eastAsia="fr-FR"/>
        </w:rPr>
        <w:t xml:space="preserve">, </w:t>
      </w:r>
      <w:r w:rsidRPr="004539D5">
        <w:rPr>
          <w:rFonts w:ascii="Times New Roman" w:eastAsia="Times New Roman" w:hAnsi="Times New Roman"/>
          <w:color w:val="000000"/>
          <w:shd w:val="clear" w:color="auto" w:fill="FFFFFF"/>
          <w:lang w:eastAsia="fr-FR"/>
        </w:rPr>
        <w:t>TechnicAtome, partenaire engagé de la Marine depuis l’avènement de la propulsion nucléaire</w:t>
      </w:r>
    </w:p>
    <w:p w:rsidR="003F1366" w:rsidRPr="004539D5" w:rsidRDefault="003F1366" w:rsidP="003F1366">
      <w:pPr>
        <w:shd w:val="clear" w:color="auto" w:fill="FFFFFF"/>
        <w:spacing w:after="0" w:line="240" w:lineRule="auto"/>
        <w:ind w:left="993"/>
        <w:rPr>
          <w:rFonts w:ascii="Times New Roman" w:eastAsia="Times New Roman" w:hAnsi="Times New Roman"/>
          <w:color w:val="000000"/>
          <w:lang w:eastAsia="fr-FR"/>
        </w:rPr>
      </w:pPr>
    </w:p>
    <w:p w:rsidR="003F1366" w:rsidRPr="004539D5" w:rsidRDefault="003F1366" w:rsidP="003F1366">
      <w:pPr>
        <w:shd w:val="clear" w:color="auto" w:fill="FFFFFF"/>
        <w:spacing w:after="0" w:line="240" w:lineRule="auto"/>
        <w:ind w:left="993"/>
        <w:jc w:val="center"/>
        <w:rPr>
          <w:rFonts w:ascii="Times New Roman" w:eastAsia="Times New Roman" w:hAnsi="Times New Roman"/>
          <w:b/>
          <w:lang w:eastAsia="fr-FR"/>
        </w:rPr>
      </w:pPr>
      <w:r w:rsidRPr="004539D5">
        <w:rPr>
          <w:rFonts w:ascii="Times New Roman" w:eastAsia="Times New Roman" w:hAnsi="Times New Roman"/>
          <w:b/>
          <w:lang w:eastAsia="fr-FR"/>
        </w:rPr>
        <w:t xml:space="preserve">Les </w:t>
      </w:r>
      <w:r>
        <w:rPr>
          <w:rFonts w:ascii="Times New Roman" w:eastAsia="Times New Roman" w:hAnsi="Times New Roman"/>
          <w:b/>
          <w:lang w:eastAsia="fr-FR"/>
        </w:rPr>
        <w:t>concepteurs</w:t>
      </w:r>
      <w:r w:rsidRPr="004539D5">
        <w:rPr>
          <w:rFonts w:ascii="Times New Roman" w:eastAsia="Times New Roman" w:hAnsi="Times New Roman"/>
          <w:b/>
          <w:lang w:eastAsia="fr-FR"/>
        </w:rPr>
        <w:t xml:space="preserve"> des programmes de sous-marins dont :</w:t>
      </w:r>
    </w:p>
    <w:p w:rsidR="003F1366" w:rsidRPr="004539D5" w:rsidRDefault="003F1366" w:rsidP="003F1366">
      <w:pPr>
        <w:shd w:val="clear" w:color="auto" w:fill="FFFFFF"/>
        <w:spacing w:after="0" w:line="240" w:lineRule="auto"/>
        <w:ind w:left="993"/>
        <w:jc w:val="center"/>
        <w:rPr>
          <w:rFonts w:ascii="Times New Roman" w:eastAsia="Times New Roman" w:hAnsi="Times New Roman"/>
          <w:color w:val="000000"/>
          <w:u w:val="single"/>
          <w:lang w:eastAsia="fr-FR"/>
        </w:rPr>
      </w:pPr>
    </w:p>
    <w:p w:rsidR="003F1366" w:rsidRPr="004539D5" w:rsidRDefault="003F1366" w:rsidP="003F1366">
      <w:pPr>
        <w:shd w:val="clear" w:color="auto" w:fill="FFFFFF"/>
        <w:spacing w:after="0" w:line="240" w:lineRule="auto"/>
        <w:ind w:left="993"/>
        <w:rPr>
          <w:rFonts w:ascii="Times New Roman" w:eastAsia="Times New Roman" w:hAnsi="Times New Roman"/>
          <w:color w:val="000000"/>
          <w:lang w:eastAsia="fr-FR"/>
        </w:rPr>
      </w:pPr>
      <w:r w:rsidRPr="004539D5">
        <w:rPr>
          <w:rFonts w:ascii="Times New Roman" w:eastAsia="Times New Roman" w:hAnsi="Times New Roman"/>
          <w:color w:val="000000"/>
          <w:lang w:eastAsia="fr-FR"/>
        </w:rPr>
        <w:t xml:space="preserve">Les directeurs successifs du programme Barracuda et du SNA </w:t>
      </w:r>
      <w:r w:rsidRPr="004539D5">
        <w:rPr>
          <w:rFonts w:ascii="Times New Roman" w:eastAsia="Times New Roman" w:hAnsi="Times New Roman"/>
          <w:i/>
          <w:color w:val="000000"/>
          <w:lang w:eastAsia="fr-FR"/>
        </w:rPr>
        <w:t>Suffren</w:t>
      </w:r>
      <w:r w:rsidRPr="004539D5">
        <w:rPr>
          <w:rFonts w:ascii="Times New Roman" w:eastAsia="Times New Roman" w:hAnsi="Times New Roman"/>
          <w:color w:val="000000"/>
          <w:lang w:eastAsia="fr-FR"/>
        </w:rPr>
        <w:t xml:space="preserve">, au sein de DCNS puis de Naval Group : Christian </w:t>
      </w:r>
      <w:proofErr w:type="spellStart"/>
      <w:r w:rsidRPr="004539D5">
        <w:rPr>
          <w:rFonts w:ascii="Times New Roman" w:eastAsia="Times New Roman" w:hAnsi="Times New Roman"/>
          <w:color w:val="000000"/>
          <w:lang w:eastAsia="fr-FR"/>
        </w:rPr>
        <w:t>Dugué</w:t>
      </w:r>
      <w:proofErr w:type="spellEnd"/>
      <w:r w:rsidRPr="004539D5">
        <w:rPr>
          <w:rFonts w:ascii="Times New Roman" w:eastAsia="Times New Roman" w:hAnsi="Times New Roman"/>
          <w:color w:val="000000"/>
          <w:lang w:eastAsia="fr-FR"/>
        </w:rPr>
        <w:t>, Alain Aupetit, Philippe Poirier, Christophe Dufour</w:t>
      </w:r>
    </w:p>
    <w:p w:rsidR="003F1366" w:rsidRPr="004539D5" w:rsidRDefault="003F1366" w:rsidP="003F1366">
      <w:pPr>
        <w:shd w:val="clear" w:color="auto" w:fill="FFFFFF"/>
        <w:spacing w:after="0" w:line="240" w:lineRule="auto"/>
        <w:ind w:left="993"/>
        <w:rPr>
          <w:rFonts w:ascii="Times New Roman" w:eastAsia="Times New Roman" w:hAnsi="Times New Roman"/>
          <w:color w:val="000000"/>
          <w:lang w:eastAsia="fr-FR"/>
        </w:rPr>
      </w:pPr>
      <w:r w:rsidRPr="004539D5">
        <w:rPr>
          <w:rFonts w:ascii="Times New Roman" w:eastAsia="Times New Roman" w:hAnsi="Times New Roman"/>
          <w:color w:val="000000"/>
          <w:lang w:eastAsia="fr-FR"/>
        </w:rPr>
        <w:t xml:space="preserve">Éric Papin Directeur Technique et Innovation de Naval Group </w:t>
      </w:r>
    </w:p>
    <w:p w:rsidR="003F1366" w:rsidRPr="004539D5" w:rsidRDefault="003F1366" w:rsidP="003F1366">
      <w:pPr>
        <w:shd w:val="clear" w:color="auto" w:fill="FFFFFF"/>
        <w:spacing w:after="0" w:line="240" w:lineRule="auto"/>
        <w:ind w:left="993"/>
        <w:rPr>
          <w:rFonts w:ascii="Times New Roman" w:eastAsia="Times New Roman" w:hAnsi="Times New Roman"/>
          <w:color w:val="000000"/>
          <w:lang w:eastAsia="fr-FR"/>
        </w:rPr>
      </w:pPr>
      <w:r w:rsidRPr="004539D5">
        <w:rPr>
          <w:rFonts w:ascii="Times New Roman" w:eastAsia="Times New Roman" w:hAnsi="Times New Roman"/>
          <w:color w:val="000000"/>
          <w:lang w:eastAsia="fr-FR"/>
        </w:rPr>
        <w:t xml:space="preserve">L’IGA Michel </w:t>
      </w:r>
      <w:proofErr w:type="spellStart"/>
      <w:r w:rsidRPr="004539D5">
        <w:rPr>
          <w:rFonts w:ascii="Times New Roman" w:eastAsia="Times New Roman" w:hAnsi="Times New Roman"/>
          <w:color w:val="000000"/>
          <w:lang w:eastAsia="fr-FR"/>
        </w:rPr>
        <w:t>Accary</w:t>
      </w:r>
      <w:proofErr w:type="spellEnd"/>
      <w:r w:rsidRPr="004539D5">
        <w:rPr>
          <w:rFonts w:ascii="Times New Roman" w:eastAsia="Times New Roman" w:hAnsi="Times New Roman"/>
          <w:color w:val="000000"/>
          <w:lang w:eastAsia="fr-FR"/>
        </w:rPr>
        <w:t xml:space="preserve"> et l’IGTM Georges </w:t>
      </w:r>
      <w:proofErr w:type="spellStart"/>
      <w:r w:rsidRPr="004539D5">
        <w:rPr>
          <w:rFonts w:ascii="Times New Roman" w:eastAsia="Times New Roman" w:hAnsi="Times New Roman"/>
          <w:color w:val="000000"/>
          <w:lang w:eastAsia="fr-FR"/>
        </w:rPr>
        <w:t>Debiesse</w:t>
      </w:r>
      <w:proofErr w:type="spellEnd"/>
      <w:r w:rsidRPr="004539D5">
        <w:rPr>
          <w:rFonts w:ascii="Times New Roman" w:eastAsia="Times New Roman" w:hAnsi="Times New Roman"/>
          <w:color w:val="000000"/>
          <w:lang w:eastAsia="fr-FR"/>
        </w:rPr>
        <w:t>, concepteur du chantier Cachin</w:t>
      </w:r>
    </w:p>
    <w:p w:rsidR="003F1366" w:rsidRDefault="003F1366" w:rsidP="003F1366">
      <w:pPr>
        <w:shd w:val="clear" w:color="auto" w:fill="FFFFFF"/>
        <w:spacing w:after="0" w:line="240" w:lineRule="auto"/>
        <w:ind w:left="993"/>
        <w:rPr>
          <w:rFonts w:ascii="Times New Roman" w:eastAsia="Times New Roman" w:hAnsi="Times New Roman"/>
          <w:b/>
          <w:lang w:eastAsia="fr-FR"/>
        </w:rPr>
      </w:pPr>
    </w:p>
    <w:p w:rsidR="003F1366" w:rsidRPr="004539D5" w:rsidRDefault="003F1366" w:rsidP="003F1366">
      <w:pPr>
        <w:shd w:val="clear" w:color="auto" w:fill="FFFFFF"/>
        <w:spacing w:after="0" w:line="240" w:lineRule="auto"/>
        <w:ind w:left="993"/>
        <w:jc w:val="center"/>
        <w:rPr>
          <w:rFonts w:ascii="Times New Roman" w:eastAsia="Times New Roman" w:hAnsi="Times New Roman"/>
          <w:b/>
          <w:lang w:eastAsia="fr-FR"/>
        </w:rPr>
      </w:pPr>
      <w:r w:rsidRPr="004539D5">
        <w:rPr>
          <w:rFonts w:ascii="Times New Roman" w:eastAsia="Times New Roman" w:hAnsi="Times New Roman"/>
          <w:b/>
          <w:lang w:eastAsia="fr-FR"/>
        </w:rPr>
        <w:t>Les experts qui nous ont fait partager leurs éminentes connaissances dans leur domaine d’excellence respectif et notamment :</w:t>
      </w:r>
    </w:p>
    <w:p w:rsidR="003F1366" w:rsidRPr="004539D5" w:rsidRDefault="003F1366" w:rsidP="003F1366">
      <w:pPr>
        <w:shd w:val="clear" w:color="auto" w:fill="FFFFFF"/>
        <w:spacing w:after="0" w:line="240" w:lineRule="auto"/>
        <w:ind w:left="993"/>
        <w:rPr>
          <w:rFonts w:ascii="Times New Roman" w:eastAsia="Times New Roman" w:hAnsi="Times New Roman"/>
          <w:color w:val="000000"/>
          <w:lang w:eastAsia="fr-FR"/>
        </w:rPr>
      </w:pPr>
    </w:p>
    <w:p w:rsidR="003F1366" w:rsidRPr="004539D5" w:rsidRDefault="003F1366" w:rsidP="003F1366">
      <w:pPr>
        <w:shd w:val="clear" w:color="auto" w:fill="FFFFFF"/>
        <w:spacing w:after="0" w:line="240" w:lineRule="auto"/>
        <w:ind w:left="993"/>
        <w:rPr>
          <w:rFonts w:ascii="Times New Roman" w:eastAsia="Times New Roman" w:hAnsi="Times New Roman"/>
          <w:color w:val="000000"/>
          <w:lang w:eastAsia="fr-FR"/>
        </w:rPr>
      </w:pPr>
      <w:r w:rsidRPr="004539D5">
        <w:rPr>
          <w:rFonts w:ascii="Times New Roman" w:eastAsia="Times New Roman" w:hAnsi="Times New Roman"/>
          <w:color w:val="000000"/>
          <w:lang w:eastAsia="fr-FR"/>
        </w:rPr>
        <w:t xml:space="preserve">Antonin Beaudry, Philippe </w:t>
      </w:r>
      <w:proofErr w:type="spellStart"/>
      <w:r w:rsidRPr="004539D5">
        <w:rPr>
          <w:rFonts w:ascii="Times New Roman" w:eastAsia="Times New Roman" w:hAnsi="Times New Roman"/>
          <w:color w:val="000000"/>
          <w:lang w:eastAsia="fr-FR"/>
        </w:rPr>
        <w:t>Wodka</w:t>
      </w:r>
      <w:proofErr w:type="spellEnd"/>
      <w:r w:rsidRPr="004539D5">
        <w:rPr>
          <w:rFonts w:ascii="Times New Roman" w:eastAsia="Times New Roman" w:hAnsi="Times New Roman"/>
          <w:color w:val="000000"/>
          <w:lang w:eastAsia="fr-FR"/>
        </w:rPr>
        <w:t xml:space="preserve">-Gallien, Olivier </w:t>
      </w:r>
      <w:proofErr w:type="spellStart"/>
      <w:r w:rsidRPr="004539D5">
        <w:rPr>
          <w:rFonts w:ascii="Times New Roman" w:eastAsia="Times New Roman" w:hAnsi="Times New Roman"/>
          <w:color w:val="000000"/>
          <w:lang w:eastAsia="fr-FR"/>
        </w:rPr>
        <w:t>Lézin</w:t>
      </w:r>
      <w:proofErr w:type="spellEnd"/>
      <w:r w:rsidRPr="004539D5">
        <w:rPr>
          <w:rFonts w:ascii="Times New Roman" w:eastAsia="Times New Roman" w:hAnsi="Times New Roman"/>
          <w:color w:val="000000"/>
          <w:lang w:eastAsia="fr-FR"/>
        </w:rPr>
        <w:t>, Richard N’</w:t>
      </w:r>
      <w:proofErr w:type="spellStart"/>
      <w:r w:rsidRPr="004539D5">
        <w:rPr>
          <w:rFonts w:ascii="Times New Roman" w:eastAsia="Times New Roman" w:hAnsi="Times New Roman"/>
          <w:color w:val="000000"/>
          <w:lang w:eastAsia="fr-FR"/>
        </w:rPr>
        <w:t>Guyen</w:t>
      </w:r>
      <w:proofErr w:type="spellEnd"/>
      <w:r w:rsidRPr="004539D5">
        <w:rPr>
          <w:rFonts w:ascii="Times New Roman" w:eastAsia="Times New Roman" w:hAnsi="Times New Roman"/>
          <w:color w:val="000000"/>
          <w:lang w:eastAsia="fr-FR"/>
        </w:rPr>
        <w:t xml:space="preserve"> Huu Dit Long, R. </w:t>
      </w:r>
      <w:proofErr w:type="spellStart"/>
      <w:r w:rsidRPr="004539D5">
        <w:rPr>
          <w:rFonts w:ascii="Times New Roman" w:eastAsia="Times New Roman" w:hAnsi="Times New Roman"/>
          <w:color w:val="000000"/>
          <w:lang w:eastAsia="fr-FR"/>
        </w:rPr>
        <w:t>Veillard</w:t>
      </w:r>
      <w:proofErr w:type="spellEnd"/>
      <w:r w:rsidRPr="004539D5">
        <w:rPr>
          <w:rFonts w:ascii="Times New Roman" w:eastAsia="Times New Roman" w:hAnsi="Times New Roman"/>
          <w:color w:val="000000"/>
          <w:lang w:eastAsia="fr-FR"/>
        </w:rPr>
        <w:t xml:space="preserve">, Alain Valade, Valérie Fournier, Francis </w:t>
      </w:r>
      <w:proofErr w:type="spellStart"/>
      <w:r w:rsidRPr="004539D5">
        <w:rPr>
          <w:rFonts w:ascii="Times New Roman" w:eastAsia="Times New Roman" w:hAnsi="Times New Roman"/>
          <w:color w:val="000000"/>
          <w:lang w:eastAsia="fr-FR"/>
        </w:rPr>
        <w:t>Harnist</w:t>
      </w:r>
      <w:proofErr w:type="spellEnd"/>
    </w:p>
    <w:p w:rsidR="003F1366" w:rsidRPr="004539D5" w:rsidRDefault="003F1366" w:rsidP="003F1366">
      <w:pPr>
        <w:shd w:val="clear" w:color="auto" w:fill="FFFFFF"/>
        <w:spacing w:after="0" w:line="240" w:lineRule="auto"/>
        <w:ind w:left="993"/>
        <w:rPr>
          <w:rFonts w:ascii="Times New Roman" w:eastAsia="Times New Roman" w:hAnsi="Times New Roman"/>
          <w:color w:val="000000"/>
          <w:lang w:eastAsia="fr-FR"/>
        </w:rPr>
      </w:pPr>
      <w:r w:rsidRPr="004539D5">
        <w:rPr>
          <w:rFonts w:ascii="Times New Roman" w:eastAsia="Times New Roman" w:hAnsi="Times New Roman"/>
          <w:b/>
          <w:i/>
          <w:color w:val="000000"/>
          <w:lang w:eastAsia="fr-FR"/>
        </w:rPr>
        <w:t xml:space="preserve"> </w:t>
      </w:r>
    </w:p>
    <w:p w:rsidR="003F1366" w:rsidRPr="004539D5" w:rsidRDefault="003F1366" w:rsidP="003F1366">
      <w:pPr>
        <w:shd w:val="clear" w:color="auto" w:fill="FFFFFF"/>
        <w:spacing w:after="0" w:line="240" w:lineRule="auto"/>
        <w:ind w:left="993"/>
        <w:jc w:val="center"/>
        <w:rPr>
          <w:rFonts w:ascii="Times New Roman" w:eastAsia="Times New Roman" w:hAnsi="Times New Roman"/>
          <w:b/>
          <w:lang w:eastAsia="fr-FR"/>
        </w:rPr>
      </w:pPr>
      <w:r w:rsidRPr="004539D5">
        <w:rPr>
          <w:rFonts w:ascii="Times New Roman" w:eastAsia="Times New Roman" w:hAnsi="Times New Roman"/>
          <w:b/>
          <w:lang w:eastAsia="fr-FR"/>
        </w:rPr>
        <w:t xml:space="preserve">Les sous-mariniers qui nous ont </w:t>
      </w:r>
      <w:r>
        <w:rPr>
          <w:rFonts w:ascii="Times New Roman" w:eastAsia="Times New Roman" w:hAnsi="Times New Roman"/>
          <w:b/>
          <w:lang w:eastAsia="fr-FR"/>
        </w:rPr>
        <w:t>communiqués leurs expériences</w:t>
      </w:r>
      <w:r w:rsidRPr="004539D5">
        <w:rPr>
          <w:rFonts w:ascii="Times New Roman" w:eastAsia="Times New Roman" w:hAnsi="Times New Roman"/>
          <w:b/>
          <w:lang w:eastAsia="fr-FR"/>
        </w:rPr>
        <w:t> :</w:t>
      </w:r>
    </w:p>
    <w:p w:rsidR="003F1366" w:rsidRPr="004539D5" w:rsidRDefault="003F1366" w:rsidP="003F1366">
      <w:pPr>
        <w:shd w:val="clear" w:color="auto" w:fill="FFFFFF"/>
        <w:spacing w:after="0" w:line="240" w:lineRule="auto"/>
        <w:ind w:left="993"/>
        <w:rPr>
          <w:rFonts w:ascii="Times New Roman" w:eastAsia="Times New Roman" w:hAnsi="Times New Roman"/>
          <w:color w:val="000000"/>
          <w:lang w:eastAsia="fr-FR"/>
        </w:rPr>
      </w:pPr>
    </w:p>
    <w:p w:rsidR="003F1366" w:rsidRDefault="003F1366" w:rsidP="003F1366">
      <w:pPr>
        <w:spacing w:after="0" w:line="240" w:lineRule="auto"/>
        <w:ind w:left="993"/>
      </w:pPr>
      <w:r w:rsidRPr="004539D5">
        <w:rPr>
          <w:rFonts w:ascii="Times New Roman" w:eastAsia="Times New Roman" w:hAnsi="Times New Roman"/>
          <w:color w:val="000000"/>
          <w:lang w:eastAsia="fr-FR"/>
        </w:rPr>
        <w:t>Les Amiraux Morio de l’</w:t>
      </w:r>
      <w:proofErr w:type="spellStart"/>
      <w:r w:rsidRPr="004539D5">
        <w:rPr>
          <w:rFonts w:ascii="Times New Roman" w:eastAsia="Times New Roman" w:hAnsi="Times New Roman"/>
          <w:color w:val="000000"/>
          <w:lang w:eastAsia="fr-FR"/>
        </w:rPr>
        <w:t>Îsle</w:t>
      </w:r>
      <w:proofErr w:type="spellEnd"/>
      <w:r w:rsidRPr="004539D5">
        <w:rPr>
          <w:rFonts w:ascii="Times New Roman" w:eastAsia="Times New Roman" w:hAnsi="Times New Roman"/>
          <w:color w:val="000000"/>
          <w:lang w:eastAsia="fr-FR"/>
        </w:rPr>
        <w:t xml:space="preserve"> et </w:t>
      </w:r>
      <w:proofErr w:type="spellStart"/>
      <w:r w:rsidRPr="004539D5">
        <w:rPr>
          <w:rFonts w:ascii="Times New Roman" w:eastAsia="Times New Roman" w:hAnsi="Times New Roman"/>
          <w:color w:val="000000"/>
          <w:lang w:eastAsia="fr-FR"/>
        </w:rPr>
        <w:t>Lozier</w:t>
      </w:r>
      <w:proofErr w:type="spellEnd"/>
      <w:r w:rsidRPr="004539D5">
        <w:rPr>
          <w:rFonts w:ascii="Times New Roman" w:eastAsia="Times New Roman" w:hAnsi="Times New Roman"/>
          <w:color w:val="000000"/>
          <w:lang w:eastAsia="fr-FR"/>
        </w:rPr>
        <w:t>, les Capitaines de vaisseau Bertrand Dumou</w:t>
      </w:r>
      <w:r w:rsidR="00A962CC">
        <w:rPr>
          <w:rFonts w:ascii="Times New Roman" w:eastAsia="Times New Roman" w:hAnsi="Times New Roman"/>
          <w:color w:val="000000"/>
          <w:lang w:eastAsia="fr-FR"/>
        </w:rPr>
        <w:t xml:space="preserve">lin et Wenceslas de </w:t>
      </w:r>
      <w:proofErr w:type="spellStart"/>
      <w:r w:rsidR="00A962CC">
        <w:rPr>
          <w:rFonts w:ascii="Times New Roman" w:eastAsia="Times New Roman" w:hAnsi="Times New Roman"/>
          <w:color w:val="000000"/>
          <w:lang w:eastAsia="fr-FR"/>
        </w:rPr>
        <w:t>Monicault</w:t>
      </w:r>
      <w:proofErr w:type="spellEnd"/>
      <w:r w:rsidR="00A962CC">
        <w:rPr>
          <w:rFonts w:ascii="Times New Roman" w:eastAsia="Times New Roman" w:hAnsi="Times New Roman"/>
          <w:color w:val="000000"/>
          <w:lang w:eastAsia="fr-FR"/>
        </w:rPr>
        <w:t xml:space="preserve"> comme</w:t>
      </w:r>
      <w:r w:rsidRPr="004539D5">
        <w:rPr>
          <w:rFonts w:ascii="Times New Roman" w:eastAsia="Times New Roman" w:hAnsi="Times New Roman"/>
          <w:color w:val="000000"/>
          <w:lang w:eastAsia="fr-FR"/>
        </w:rPr>
        <w:t xml:space="preserve"> nos nombreux camarades de l’AGASM</w:t>
      </w:r>
      <w:r w:rsidRPr="004539D5">
        <w:rPr>
          <w:rFonts w:ascii="Times New Roman" w:eastAsia="Times New Roman" w:hAnsi="Times New Roman"/>
          <w:color w:val="000000"/>
          <w:lang w:eastAsia="fr-FR"/>
        </w:rPr>
        <w:br/>
      </w:r>
    </w:p>
    <w:sectPr w:rsidR="003F1366" w:rsidSect="008748C6">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E0833"/>
    <w:multiLevelType w:val="hybridMultilevel"/>
    <w:tmpl w:val="3C1A2B20"/>
    <w:lvl w:ilvl="0" w:tplc="1C5E95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748C6"/>
    <w:rsid w:val="00286298"/>
    <w:rsid w:val="002C1944"/>
    <w:rsid w:val="00301A92"/>
    <w:rsid w:val="003F1366"/>
    <w:rsid w:val="004D6AED"/>
    <w:rsid w:val="00550AC8"/>
    <w:rsid w:val="00661183"/>
    <w:rsid w:val="00785422"/>
    <w:rsid w:val="008748C6"/>
    <w:rsid w:val="00A962CC"/>
    <w:rsid w:val="00B2245C"/>
    <w:rsid w:val="00B36717"/>
    <w:rsid w:val="00C165A5"/>
    <w:rsid w:val="00C977B6"/>
    <w:rsid w:val="00CD5A44"/>
    <w:rsid w:val="00EA6F5E"/>
    <w:rsid w:val="00EC2C87"/>
    <w:rsid w:val="00EE0579"/>
    <w:rsid w:val="00F11A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8C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4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748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48C6"/>
    <w:rPr>
      <w:rFonts w:ascii="Tahoma" w:eastAsia="Calibri" w:hAnsi="Tahoma" w:cs="Tahoma"/>
      <w:sz w:val="16"/>
      <w:szCs w:val="16"/>
    </w:rPr>
  </w:style>
  <w:style w:type="character" w:styleId="Lienhypertexte">
    <w:name w:val="Hyperlink"/>
    <w:basedOn w:val="Policepardfaut"/>
    <w:uiPriority w:val="99"/>
    <w:semiHidden/>
    <w:unhideWhenUsed/>
    <w:rsid w:val="003F1366"/>
    <w:rPr>
      <w:color w:val="0000FF"/>
      <w:u w:val="single"/>
    </w:rPr>
  </w:style>
  <w:style w:type="paragraph" w:styleId="Paragraphedeliste">
    <w:name w:val="List Paragraph"/>
    <w:basedOn w:val="Normal"/>
    <w:uiPriority w:val="34"/>
    <w:qFormat/>
    <w:rsid w:val="00C165A5"/>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1062</Words>
  <Characters>5842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Jehan</dc:creator>
  <cp:lastModifiedBy>Jehan</cp:lastModifiedBy>
  <cp:revision>11</cp:revision>
  <dcterms:created xsi:type="dcterms:W3CDTF">2023-06-07T09:45:00Z</dcterms:created>
  <dcterms:modified xsi:type="dcterms:W3CDTF">2023-09-28T15:33:00Z</dcterms:modified>
</cp:coreProperties>
</file>